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spacing w:after="60"/>
        <w:rPr>
          <w:rFonts w:hint="default" w:eastAsia="宋体"/>
          <w:sz w:val="32"/>
          <w:szCs w:val="32"/>
          <w:highlight w:val="yellow"/>
          <w:lang w:val="en-US" w:eastAsia="zh-CN"/>
        </w:rPr>
      </w:pPr>
      <w:bookmarkStart w:id="0" w:name="_Hlk487029736"/>
      <w:bookmarkEnd w:id="0"/>
      <w:r>
        <w:t>3GPP TSG-RAN WG4 Meeting #</w:t>
      </w:r>
      <w:r>
        <w:rPr>
          <w:rFonts w:hint="eastAsia" w:eastAsia="宋体"/>
          <w:lang w:val="en-US" w:eastAsia="zh-CN"/>
        </w:rPr>
        <w:t>100</w:t>
      </w:r>
      <w:r>
        <w:t>-e</w:t>
      </w:r>
      <w:r>
        <w:tab/>
      </w:r>
      <w:r>
        <w:rPr>
          <w:rFonts w:hint="eastAsia"/>
          <w:szCs w:val="24"/>
        </w:rPr>
        <w:t>R4-2113878</w:t>
      </w:r>
      <w:bookmarkStart w:id="7" w:name="_GoBack"/>
      <w:bookmarkEnd w:id="7"/>
    </w:p>
    <w:p>
      <w:pPr>
        <w:pStyle w:val="83"/>
      </w:pPr>
      <w:bookmarkStart w:id="1" w:name="OLE_LINK4"/>
      <w:bookmarkStart w:id="2" w:name="OLE_LINK3"/>
      <w:r>
        <w:t xml:space="preserve">Electronic Meeting, </w:t>
      </w:r>
      <w:r>
        <w:rPr>
          <w:rFonts w:hint="eastAsia"/>
        </w:rPr>
        <w:t>August 16-27, 2021</w:t>
      </w:r>
    </w:p>
    <w:bookmarkEnd w:id="1"/>
    <w:bookmarkEnd w:id="2"/>
    <w:p>
      <w:pPr>
        <w:pStyle w:val="83"/>
      </w:pPr>
    </w:p>
    <w:p>
      <w:pPr>
        <w:pStyle w:val="83"/>
        <w:rPr>
          <w:rFonts w:hint="eastAsia" w:eastAsia="宋体"/>
          <w:sz w:val="22"/>
          <w:lang w:val="en-US" w:eastAsia="zh-CN"/>
        </w:rPr>
      </w:pPr>
      <w:r>
        <w:rPr>
          <w:sz w:val="22"/>
        </w:rPr>
        <w:t>Agenda Item:</w:t>
      </w:r>
      <w:r>
        <w:rPr>
          <w:sz w:val="22"/>
        </w:rPr>
        <w:tab/>
      </w:r>
      <w:r>
        <w:rPr>
          <w:sz w:val="22"/>
        </w:rPr>
        <w:t>6.1.</w:t>
      </w:r>
      <w:r>
        <w:rPr>
          <w:rFonts w:hint="eastAsia" w:eastAsia="宋体"/>
          <w:sz w:val="22"/>
          <w:lang w:val="en-US" w:eastAsia="zh-CN"/>
        </w:rPr>
        <w:t>1.</w:t>
      </w:r>
      <w:r>
        <w:rPr>
          <w:sz w:val="22"/>
        </w:rPr>
        <w:t>5.</w:t>
      </w:r>
      <w:r>
        <w:rPr>
          <w:rFonts w:hint="eastAsia" w:eastAsia="宋体"/>
          <w:sz w:val="22"/>
          <w:lang w:val="en-US" w:eastAsia="zh-CN"/>
        </w:rPr>
        <w:t>5</w:t>
      </w:r>
    </w:p>
    <w:p>
      <w:pPr>
        <w:pStyle w:val="83"/>
        <w:rPr>
          <w:sz w:val="22"/>
        </w:rPr>
      </w:pPr>
      <w:r>
        <w:rPr>
          <w:sz w:val="22"/>
        </w:rPr>
        <w:t>Source:</w:t>
      </w:r>
      <w:r>
        <w:rPr>
          <w:sz w:val="22"/>
        </w:rPr>
        <w:tab/>
      </w:r>
      <w:r>
        <w:rPr>
          <w:rFonts w:hint="eastAsia"/>
          <w:sz w:val="22"/>
        </w:rPr>
        <w:t>ZTE Corporation</w:t>
      </w:r>
    </w:p>
    <w:p>
      <w:pPr>
        <w:pStyle w:val="83"/>
        <w:ind w:left="1701" w:hanging="1701"/>
        <w:rPr>
          <w:rFonts w:hint="default" w:eastAsia="宋体"/>
          <w:sz w:val="22"/>
          <w:lang w:val="en-US" w:eastAsia="zh-CN"/>
        </w:rPr>
      </w:pPr>
      <w:r>
        <w:rPr>
          <w:sz w:val="22"/>
        </w:rPr>
        <w:t>Title:</w:t>
      </w:r>
      <w:r>
        <w:rPr>
          <w:sz w:val="22"/>
        </w:rPr>
        <w:tab/>
      </w:r>
      <w:r>
        <w:rPr>
          <w:rFonts w:hint="eastAsia" w:eastAsia="宋体"/>
          <w:sz w:val="22"/>
          <w:lang w:val="en-US" w:eastAsia="zh-CN"/>
        </w:rPr>
        <w:t>Availability of SSB occasions for RLM/BFD/L1-RSRP</w:t>
      </w:r>
    </w:p>
    <w:p>
      <w:pPr>
        <w:pStyle w:val="83"/>
        <w:rPr>
          <w:rFonts w:hint="default" w:eastAsia="宋体"/>
          <w:sz w:val="22"/>
          <w:lang w:val="en-US" w:eastAsia="zh-CN"/>
        </w:rPr>
      </w:pPr>
      <w:r>
        <w:rPr>
          <w:sz w:val="22"/>
        </w:rPr>
        <w:t>Document for:</w:t>
      </w:r>
      <w:r>
        <w:rPr>
          <w:sz w:val="22"/>
        </w:rPr>
        <w:tab/>
      </w:r>
      <w:r>
        <w:rPr>
          <w:rFonts w:hint="eastAsia" w:eastAsia="宋体"/>
          <w:sz w:val="22"/>
          <w:lang w:val="en-US" w:eastAsia="zh-CN"/>
        </w:rPr>
        <w:t>Approval</w:t>
      </w:r>
    </w:p>
    <w:p>
      <w:pPr>
        <w:pStyle w:val="2"/>
        <w:rPr>
          <w:lang w:val="en-US"/>
        </w:rPr>
      </w:pPr>
      <w:r>
        <w:rPr>
          <w:lang w:val="en-US"/>
        </w:rPr>
        <w:t>1</w:t>
      </w:r>
      <w:r>
        <w:rPr>
          <w:lang w:val="en-US"/>
        </w:rPr>
        <w:tab/>
      </w:r>
      <w:r>
        <w:rPr>
          <w:lang w:val="en-US"/>
        </w:rPr>
        <w:t>Introduction</w:t>
      </w:r>
    </w:p>
    <w:p>
      <w:pPr>
        <w:rPr>
          <w:rFonts w:hint="default" w:eastAsia="宋体"/>
          <w:lang w:val="en-US" w:eastAsia="zh-CN"/>
        </w:rPr>
      </w:pPr>
      <w:r>
        <w:rPr>
          <w:rFonts w:hint="eastAsia" w:eastAsia="宋体"/>
          <w:lang w:val="en-US" w:eastAsia="zh-CN"/>
        </w:rPr>
        <w:t>RAN4#100-e approved the way forward on the availability of SSB occasions for RLM/BFD/L1-RSRP as a part of NR-U RRM Core Requirements [1]. The agreed conclusion of the availability of SSB occasions for CBD and the remaining open issue are shown as below.</w:t>
      </w:r>
    </w:p>
    <w:tbl>
      <w:tblPr>
        <w:tblStyle w:val="4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5" w:type="dxa"/>
          </w:tcPr>
          <w:p>
            <w:pPr>
              <w:pStyle w:val="84"/>
              <w:numPr>
                <w:ilvl w:val="0"/>
                <w:numId w:val="2"/>
              </w:numPr>
              <w:ind w:left="720" w:leftChars="0" w:hanging="360" w:firstLineChars="0"/>
              <w:rPr>
                <w:rFonts w:hint="eastAsia"/>
              </w:rPr>
            </w:pPr>
            <w:r>
              <w:rPr>
                <w:rFonts w:hint="eastAsia"/>
              </w:rPr>
              <w:t>For CBD, the UE, which is configured in DRX, is not required to determine the availability of SSB occasions more frequent than:</w:t>
            </w:r>
          </w:p>
          <w:p>
            <w:pPr>
              <w:pStyle w:val="84"/>
              <w:numPr>
                <w:ilvl w:val="0"/>
                <w:numId w:val="3"/>
              </w:numPr>
              <w:ind w:left="1260" w:leftChars="0" w:hanging="420" w:firstLineChars="0"/>
              <w:rPr>
                <w:rFonts w:hint="eastAsia"/>
              </w:rPr>
            </w:pPr>
            <w:r>
              <w:rPr>
                <w:rFonts w:hint="eastAsia"/>
              </w:rPr>
              <w:t>Once per Max(25ms, P* T</w:t>
            </w:r>
            <w:r>
              <w:rPr>
                <w:rFonts w:hint="eastAsia"/>
                <w:vertAlign w:val="subscript"/>
              </w:rPr>
              <w:t>SSB</w:t>
            </w:r>
            <w:r>
              <w:rPr>
                <w:rFonts w:hint="eastAsia"/>
              </w:rPr>
              <w:t>) if T</w:t>
            </w:r>
            <w:r>
              <w:rPr>
                <w:rFonts w:hint="eastAsia"/>
                <w:vertAlign w:val="subscript"/>
              </w:rPr>
              <w:t>DRX</w:t>
            </w:r>
            <w:r>
              <w:rPr>
                <w:rFonts w:hint="eastAsia"/>
              </w:rPr>
              <w:t xml:space="preserve"> ≤ 320ms</w:t>
            </w:r>
          </w:p>
          <w:p>
            <w:pPr>
              <w:pStyle w:val="84"/>
              <w:numPr>
                <w:ilvl w:val="0"/>
                <w:numId w:val="3"/>
              </w:numPr>
              <w:ind w:left="1260" w:leftChars="0" w:hanging="420" w:firstLineChars="0"/>
              <w:rPr>
                <w:rFonts w:hint="eastAsia"/>
              </w:rPr>
            </w:pPr>
            <w:r>
              <w:rPr>
                <w:rFonts w:hint="eastAsia"/>
              </w:rPr>
              <w:t>Once per P* T</w:t>
            </w:r>
            <w:r>
              <w:rPr>
                <w:rFonts w:hint="eastAsia"/>
                <w:vertAlign w:val="subscript"/>
              </w:rPr>
              <w:t>DRX</w:t>
            </w:r>
            <w:r>
              <w:rPr>
                <w:rFonts w:hint="eastAsia"/>
              </w:rPr>
              <w:t xml:space="preserve"> if T</w:t>
            </w:r>
            <w:r>
              <w:rPr>
                <w:rFonts w:hint="eastAsia"/>
                <w:vertAlign w:val="subscript"/>
              </w:rPr>
              <w:t>DRX</w:t>
            </w:r>
            <w:r>
              <w:rPr>
                <w:rFonts w:hint="eastAsia"/>
              </w:rPr>
              <w:t xml:space="preserve"> &gt; 320ms. </w:t>
            </w:r>
          </w:p>
          <w:p>
            <w:pPr>
              <w:pStyle w:val="84"/>
              <w:numPr>
                <w:ilvl w:val="0"/>
                <w:numId w:val="2"/>
              </w:numPr>
              <w:ind w:left="720" w:leftChars="0" w:hanging="360" w:firstLineChars="0"/>
            </w:pPr>
            <w:r>
              <w:rPr>
                <w:rFonts w:hint="eastAsia"/>
              </w:rPr>
              <w:t>FFS: whether to consider P factor for RLM/BFD/L1-RSRP</w:t>
            </w:r>
            <w:r>
              <w:rPr>
                <w:rFonts w:hint="eastAsia" w:eastAsia="宋体"/>
                <w:lang w:val="en-US" w:eastAsia="zh-CN"/>
              </w:rPr>
              <w:t>.</w:t>
            </w:r>
          </w:p>
        </w:tc>
      </w:tr>
    </w:tbl>
    <w:p>
      <w:pPr>
        <w:pStyle w:val="2"/>
        <w:rPr>
          <w:rFonts w:hint="default" w:eastAsia="宋体"/>
          <w:lang w:val="en-US" w:eastAsia="zh-CN"/>
        </w:rPr>
      </w:pPr>
      <w:r>
        <w:rPr>
          <w:lang w:val="en-US"/>
        </w:rPr>
        <w:t>2</w:t>
      </w:r>
      <w:r>
        <w:rPr>
          <w:lang w:val="en-US"/>
        </w:rPr>
        <w:tab/>
      </w:r>
      <w:r>
        <w:rPr>
          <w:rFonts w:hint="eastAsia" w:eastAsia="宋体"/>
          <w:lang w:val="en-US" w:eastAsia="zh-CN"/>
        </w:rPr>
        <w:t>Overview</w:t>
      </w:r>
    </w:p>
    <w:p>
      <w:pPr>
        <w:rPr>
          <w:rFonts w:hint="eastAsia" w:eastAsia="宋体"/>
          <w:lang w:val="en-US" w:eastAsia="zh-CN"/>
        </w:rPr>
      </w:pPr>
      <w:r>
        <w:rPr>
          <w:rFonts w:hint="eastAsia" w:eastAsia="宋体"/>
          <w:lang w:val="en-US" w:eastAsia="zh-CN"/>
        </w:rPr>
        <w:t xml:space="preserve">In the last several meetings, </w:t>
      </w:r>
      <w:r>
        <w:rPr>
          <w:rFonts w:hint="eastAsia" w:eastAsia="宋体"/>
          <w:sz w:val="22"/>
          <w:szCs w:val="22"/>
          <w:lang w:val="en-US" w:eastAsia="zh-CN"/>
        </w:rPr>
        <w:t xml:space="preserve">companies discussed the issues related to terminology updates for NR-U due to CSSF, and </w:t>
      </w:r>
      <w:r>
        <w:rPr>
          <w:rFonts w:hint="eastAsia" w:eastAsia="宋体"/>
          <w:lang w:val="en-US" w:eastAsia="zh-CN"/>
        </w:rPr>
        <w:t>it was agreed that the UE, which is configured in DRX, is not required to determine the availability of SSB occasions for CBD more frequent than:</w:t>
      </w:r>
    </w:p>
    <w:p>
      <w:pPr>
        <w:pStyle w:val="84"/>
        <w:numPr>
          <w:ilvl w:val="0"/>
          <w:numId w:val="2"/>
        </w:numPr>
        <w:ind w:left="720" w:leftChars="0" w:hanging="360" w:firstLineChars="0"/>
        <w:rPr>
          <w:rFonts w:hint="default"/>
          <w:lang w:val="en-US" w:eastAsia="zh-CN"/>
        </w:rPr>
      </w:pPr>
      <w:r>
        <w:rPr>
          <w:rFonts w:hint="default"/>
          <w:lang w:val="en-US" w:eastAsia="zh-CN"/>
        </w:rPr>
        <w:t>Once per Max(25ms, P* T</w:t>
      </w:r>
      <w:r>
        <w:rPr>
          <w:rFonts w:hint="default"/>
          <w:vertAlign w:val="subscript"/>
          <w:lang w:val="en-US" w:eastAsia="zh-CN"/>
        </w:rPr>
        <w:t>SSB</w:t>
      </w:r>
      <w:r>
        <w:rPr>
          <w:rFonts w:hint="default"/>
          <w:lang w:val="en-US" w:eastAsia="zh-CN"/>
        </w:rPr>
        <w:t>) if T</w:t>
      </w:r>
      <w:r>
        <w:rPr>
          <w:rFonts w:hint="default"/>
          <w:vertAlign w:val="subscript"/>
          <w:lang w:val="en-US" w:eastAsia="zh-CN"/>
        </w:rPr>
        <w:t>DRX</w:t>
      </w:r>
      <w:r>
        <w:rPr>
          <w:rFonts w:hint="default"/>
          <w:lang w:val="en-US" w:eastAsia="zh-CN"/>
        </w:rPr>
        <w:t xml:space="preserve"> ≤ 320ms</w:t>
      </w:r>
    </w:p>
    <w:p>
      <w:pPr>
        <w:pStyle w:val="84"/>
        <w:numPr>
          <w:ilvl w:val="0"/>
          <w:numId w:val="2"/>
        </w:numPr>
        <w:ind w:left="720" w:leftChars="0" w:hanging="360" w:firstLineChars="0"/>
        <w:rPr>
          <w:rFonts w:hint="default"/>
          <w:lang w:val="en-US" w:eastAsia="zh-CN"/>
        </w:rPr>
      </w:pPr>
      <w:r>
        <w:rPr>
          <w:rFonts w:hint="default"/>
          <w:lang w:val="en-US" w:eastAsia="zh-CN"/>
        </w:rPr>
        <w:t>Once per P* T</w:t>
      </w:r>
      <w:r>
        <w:rPr>
          <w:rFonts w:hint="default"/>
          <w:vertAlign w:val="subscript"/>
          <w:lang w:val="en-US" w:eastAsia="zh-CN"/>
        </w:rPr>
        <w:t>DRX</w:t>
      </w:r>
      <w:r>
        <w:rPr>
          <w:rFonts w:hint="default"/>
          <w:lang w:val="en-US" w:eastAsia="zh-CN"/>
        </w:rPr>
        <w:t xml:space="preserve"> if T</w:t>
      </w:r>
      <w:r>
        <w:rPr>
          <w:rFonts w:hint="default"/>
          <w:vertAlign w:val="subscript"/>
          <w:lang w:val="en-US" w:eastAsia="zh-CN"/>
        </w:rPr>
        <w:t>DRX</w:t>
      </w:r>
      <w:r>
        <w:rPr>
          <w:rFonts w:hint="default"/>
          <w:lang w:val="en-US" w:eastAsia="zh-CN"/>
        </w:rPr>
        <w:t xml:space="preserve"> &gt; 320ms.</w:t>
      </w:r>
    </w:p>
    <w:p>
      <w:pPr>
        <w:rPr>
          <w:rFonts w:hint="eastAsia" w:eastAsia="宋体"/>
          <w:lang w:val="en-US" w:eastAsia="zh-CN"/>
        </w:rPr>
      </w:pPr>
      <w:r>
        <w:rPr>
          <w:rFonts w:hint="eastAsia" w:eastAsia="宋体"/>
          <w:lang w:val="en-US" w:eastAsia="zh-CN"/>
        </w:rPr>
        <w:t>Then, we discuss the open issue listed above in the WF and provide our view about whether P factor need to be considered for RLM/BFD/L1-RSRP.</w:t>
      </w:r>
      <w:bookmarkStart w:id="3" w:name="_Ref71031776"/>
    </w:p>
    <w:p>
      <w:pPr>
        <w:rPr>
          <w:rFonts w:hint="eastAsia" w:eastAsia="宋体"/>
          <w:lang w:val="en-US" w:eastAsia="zh-CN"/>
        </w:rPr>
      </w:pPr>
      <w:r>
        <w:rPr>
          <w:rFonts w:hint="eastAsia" w:eastAsia="宋体"/>
          <w:lang w:val="en-US" w:eastAsia="zh-CN"/>
        </w:rPr>
        <w:t>P factor is utilized to determine the evaluation period and computed as</w:t>
      </w:r>
    </w:p>
    <w:tbl>
      <w:tblPr>
        <w:tblStyle w:val="4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5" w:type="dxa"/>
          </w:tcPr>
          <w:p>
            <w:pPr>
              <w:pStyle w:val="77"/>
              <w:keepNext w:val="0"/>
              <w:keepLines w:val="0"/>
              <w:pageBreakBefore w:val="0"/>
              <w:widowControl w:val="0"/>
              <w:kinsoku/>
              <w:wordWrap/>
              <w:overflowPunct/>
              <w:topLinePunct w:val="0"/>
              <w:autoSpaceDE/>
              <w:autoSpaceDN/>
              <w:bidi w:val="0"/>
              <w:adjustRightInd/>
              <w:snapToGrid/>
              <w:spacing w:line="260" w:lineRule="auto"/>
              <w:ind w:left="567" w:hanging="283"/>
              <w:textAlignment w:val="auto"/>
            </w:pPr>
            <w:r>
              <w:t>-</w:t>
            </w:r>
            <w:r>
              <w:tab/>
            </w:r>
            <w:r>
              <w:rPr>
                <w:position w:val="-54"/>
              </w:rPr>
              <w:object>
                <v:shape id="_x0000_i1025" o:spt="75" type="#_x0000_t75" style="height:35.2pt;width:56.7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t xml:space="preserve">, when in the monitored cell there are measurement gaps configured for intra-frequency, inter-frequency or inter-RAT measurements, and </w:t>
            </w:r>
            <w:r>
              <w:rPr>
                <w:highlight w:val="none"/>
              </w:rPr>
              <w:t>these measurement gaps are overlapping with some but not all occasions of the SSB</w:t>
            </w:r>
            <w:r>
              <w:t>; and</w:t>
            </w:r>
          </w:p>
          <w:p>
            <w:pPr>
              <w:pStyle w:val="77"/>
            </w:pPr>
            <w:r>
              <w:t>-</w:t>
            </w:r>
            <w:r>
              <w:tab/>
            </w:r>
            <w:r>
              <w:rPr>
                <w:position w:val="-4"/>
              </w:rPr>
              <w:object>
                <v:shape id="_x0000_i1026" o:spt="75" type="#_x0000_t75" style="height:13pt;width:28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eastAsia="宋体"/>
                <w:lang w:val="en-US" w:eastAsia="zh-CN"/>
              </w:rPr>
              <w:t>,</w:t>
            </w:r>
            <w:r>
              <w:t xml:space="preserve"> when in the monitored cell there are no measurement gaps overlapping with any occasion of the SSB.</w:t>
            </w:r>
          </w:p>
        </w:tc>
      </w:tr>
    </w:tbl>
    <w:p>
      <w:pPr>
        <w:rPr>
          <w:rFonts w:hint="default" w:eastAsia="宋体"/>
          <w:lang w:val="en-US" w:eastAsia="zh-CN"/>
        </w:rPr>
      </w:pPr>
      <w:r>
        <w:rPr>
          <w:rFonts w:hint="eastAsia" w:eastAsia="宋体"/>
          <w:lang w:val="en-US" w:eastAsia="zh-CN"/>
        </w:rPr>
        <w:t xml:space="preserve">P factor is used to represent the measurement gaps overlapping with the SSB occasions. In the last meeting, we agreed that P factor should be considered for the availability of SSB occasions for CBD since UE would not perform CBD in MG duration. Similarly, P factor should also be considered for BFD since UE would not perform BFD in MG duration. The availability of SSB occasions for RLM was agreed previously with L1 indication interval, which is derived as the RLM evaluation period related to P factor. Moreover, the UE shall be capable of performing L1-RSRP measurements based on the configured SSB resource for L1-RSRP computation, and the UE physical layer shall be capable of reporting L1-RSRP measured over the measurement period. Therefore, P factor should be considered </w:t>
      </w:r>
      <w:r>
        <w:rPr>
          <w:rFonts w:hint="eastAsia"/>
        </w:rPr>
        <w:t>for RLM/BFD/L1-RSRP</w:t>
      </w:r>
      <w:r>
        <w:rPr>
          <w:rFonts w:hint="eastAsia" w:eastAsia="宋体"/>
          <w:lang w:val="en-US" w:eastAsia="zh-CN"/>
        </w:rPr>
        <w:t>. We provide more details in the next section.</w:t>
      </w:r>
    </w:p>
    <w:p>
      <w:pPr>
        <w:pStyle w:val="2"/>
        <w:rPr>
          <w:rFonts w:hint="default" w:eastAsia="宋体"/>
          <w:lang w:val="en-US" w:eastAsia="zh-CN"/>
        </w:rPr>
      </w:pPr>
      <w:r>
        <w:rPr>
          <w:rFonts w:hint="eastAsia" w:eastAsia="宋体"/>
          <w:lang w:val="en-US" w:eastAsia="zh-CN"/>
        </w:rPr>
        <w:t>3</w:t>
      </w:r>
      <w:r>
        <w:rPr>
          <w:rFonts w:hint="eastAsia" w:eastAsia="宋体"/>
          <w:lang w:val="en-US" w:eastAsia="zh-CN"/>
        </w:rPr>
        <w:tab/>
      </w:r>
      <w:r>
        <w:rPr>
          <w:lang w:val="en-US"/>
        </w:rPr>
        <w:t>Discussion</w:t>
      </w:r>
    </w:p>
    <w:p>
      <w:pPr>
        <w:rPr>
          <w:rFonts w:hint="default" w:eastAsia="宋体"/>
          <w:lang w:val="en-US" w:eastAsia="zh-CN"/>
        </w:rPr>
      </w:pPr>
      <w:r>
        <w:rPr>
          <w:rFonts w:hint="eastAsia" w:eastAsia="宋体"/>
          <w:lang w:val="en-US" w:eastAsia="zh-CN"/>
        </w:rPr>
        <w:t>As for the availability of SSB occasions for RLM, it was agreed previously that the UE is not required to determine the availability of SSB occasions more frequent than once per L1 indication interval [2]. The L1 indication interval for RLM is derived from the RLM evaluation period as shown in Table 8.1A.2.2-1. Therefore, we propose that when the DRX is configured and T</w:t>
      </w:r>
      <w:r>
        <w:rPr>
          <w:rFonts w:hint="eastAsia" w:eastAsia="宋体"/>
          <w:vertAlign w:val="subscript"/>
          <w:lang w:val="en-US" w:eastAsia="zh-CN"/>
        </w:rPr>
        <w:t xml:space="preserve">DRX </w:t>
      </w:r>
      <w:r>
        <w:rPr>
          <w:rFonts w:hint="default"/>
          <w:lang w:val="en-US" w:eastAsia="zh-CN"/>
        </w:rPr>
        <w:t>≤ 320ms</w:t>
      </w:r>
      <w:r>
        <w:rPr>
          <w:rFonts w:hint="eastAsia"/>
          <w:lang w:val="en-US" w:eastAsia="zh-CN"/>
        </w:rPr>
        <w:t>,</w:t>
      </w:r>
      <w:r>
        <w:rPr>
          <w:rFonts w:hint="eastAsia" w:eastAsia="宋体"/>
          <w:lang w:val="en-US" w:eastAsia="zh-CN"/>
        </w:rPr>
        <w:t xml:space="preserve"> the UE should be not required to determine the availability of SSB occasions for RLM more frequent than once per Max(100ms, P*Max(T</w:t>
      </w:r>
      <w:r>
        <w:rPr>
          <w:rFonts w:hint="eastAsia" w:eastAsia="宋体"/>
          <w:vertAlign w:val="subscript"/>
          <w:lang w:val="en-US" w:eastAsia="zh-CN"/>
        </w:rPr>
        <w:t>DRX</w:t>
      </w:r>
      <w:r>
        <w:rPr>
          <w:rFonts w:hint="eastAsia" w:eastAsia="宋体"/>
          <w:lang w:val="en-US" w:eastAsia="zh-CN"/>
        </w:rPr>
        <w:t>, T</w:t>
      </w:r>
      <w:r>
        <w:rPr>
          <w:rFonts w:hint="eastAsia" w:eastAsia="宋体"/>
          <w:vertAlign w:val="subscript"/>
          <w:lang w:val="en-US" w:eastAsia="zh-CN"/>
        </w:rPr>
        <w:t>SSB</w:t>
      </w:r>
      <w:r>
        <w:rPr>
          <w:rFonts w:hint="eastAsia" w:eastAsia="宋体"/>
          <w:lang w:val="en-US" w:eastAsia="zh-CN"/>
        </w:rPr>
        <w:t>)) since T</w:t>
      </w:r>
      <w:r>
        <w:rPr>
          <w:rFonts w:hint="eastAsia" w:eastAsia="宋体"/>
          <w:vertAlign w:val="subscript"/>
          <w:lang w:val="en-US" w:eastAsia="zh-CN"/>
        </w:rPr>
        <w:t>Evaluate_in_SSB,CCA</w:t>
      </w:r>
      <w:r>
        <w:rPr>
          <w:rFonts w:hint="eastAsia" w:eastAsia="宋体"/>
          <w:lang w:val="en-US" w:eastAsia="zh-CN"/>
        </w:rPr>
        <w:t xml:space="preserve"> is always smaller than T</w:t>
      </w:r>
      <w:r>
        <w:rPr>
          <w:rFonts w:hint="eastAsia" w:eastAsia="宋体"/>
          <w:vertAlign w:val="subscript"/>
          <w:lang w:val="en-US" w:eastAsia="zh-CN"/>
        </w:rPr>
        <w:t>Evaluate_out_SSB,CCA</w:t>
      </w:r>
      <w:r>
        <w:rPr>
          <w:rFonts w:hint="eastAsia" w:eastAsia="宋体"/>
          <w:lang w:val="en-US" w:eastAsia="zh-CN"/>
        </w:rPr>
        <w:t>. If T</w:t>
      </w:r>
      <w:r>
        <w:rPr>
          <w:rFonts w:hint="eastAsia" w:eastAsia="宋体"/>
          <w:vertAlign w:val="subscript"/>
          <w:lang w:val="en-US" w:eastAsia="zh-CN"/>
        </w:rPr>
        <w:t xml:space="preserve">DRX </w:t>
      </w:r>
      <w:r>
        <w:rPr>
          <w:rFonts w:hint="eastAsia"/>
          <w:lang w:val="en-US" w:eastAsia="zh-CN"/>
        </w:rPr>
        <w:t xml:space="preserve">&gt; </w:t>
      </w:r>
      <w:r>
        <w:rPr>
          <w:rFonts w:hint="default"/>
          <w:lang w:val="en-US" w:eastAsia="zh-CN"/>
        </w:rPr>
        <w:t>320ms</w:t>
      </w:r>
      <w:r>
        <w:rPr>
          <w:rFonts w:hint="eastAsia"/>
          <w:lang w:val="en-US" w:eastAsia="zh-CN"/>
        </w:rPr>
        <w:t>,</w:t>
      </w:r>
      <w:r>
        <w:rPr>
          <w:rFonts w:hint="eastAsia" w:eastAsia="宋体"/>
          <w:lang w:val="en-US" w:eastAsia="zh-CN"/>
        </w:rPr>
        <w:t xml:space="preserve"> the UE should be not required to determine the availability of SSB occasions for RLM more frequent than once per P*T</w:t>
      </w:r>
      <w:r>
        <w:rPr>
          <w:rFonts w:hint="eastAsia" w:eastAsia="宋体"/>
          <w:vertAlign w:val="subscript"/>
          <w:lang w:val="en-US" w:eastAsia="zh-CN"/>
        </w:rPr>
        <w:t>DRX</w:t>
      </w:r>
      <w:r>
        <w:rPr>
          <w:rFonts w:hint="eastAsia" w:eastAsia="宋体"/>
          <w:lang w:val="en-US" w:eastAsia="zh-CN"/>
        </w:rPr>
        <w:t>.</w:t>
      </w:r>
    </w:p>
    <w:p>
      <w:pPr>
        <w:pStyle w:val="57"/>
      </w:pPr>
      <w:r>
        <w:t>Table 8.1A.2.2-1: Evaluation period T</w:t>
      </w:r>
      <w:r>
        <w:rPr>
          <w:vertAlign w:val="subscript"/>
        </w:rPr>
        <w:t>Evaluate_out_SSB,CCA</w:t>
      </w:r>
      <w:r>
        <w:t xml:space="preserve"> and T</w:t>
      </w:r>
      <w:r>
        <w:rPr>
          <w:vertAlign w:val="subscript"/>
        </w:rPr>
        <w:t>Evaluate_in_SSB,CCA</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835"/>
        <w:gridCol w:w="2977"/>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top w:val="single" w:color="auto" w:sz="4" w:space="0"/>
              <w:left w:val="single" w:color="auto" w:sz="4" w:space="0"/>
              <w:bottom w:val="nil"/>
              <w:right w:val="single" w:color="auto" w:sz="4" w:space="0"/>
            </w:tcBorders>
            <w:vAlign w:val="center"/>
          </w:tcPr>
          <w:p>
            <w:pPr>
              <w:pStyle w:val="53"/>
            </w:pPr>
            <w:r>
              <w:t>Configuration</w:t>
            </w:r>
          </w:p>
        </w:tc>
        <w:tc>
          <w:tcPr>
            <w:tcW w:w="5812" w:type="dxa"/>
            <w:gridSpan w:val="2"/>
            <w:tcBorders>
              <w:top w:val="single" w:color="auto" w:sz="4" w:space="0"/>
              <w:left w:val="single" w:color="auto" w:sz="4" w:space="0"/>
              <w:bottom w:val="single" w:color="auto" w:sz="4" w:space="0"/>
              <w:right w:val="single" w:color="auto" w:sz="4" w:space="0"/>
            </w:tcBorders>
            <w:vAlign w:val="center"/>
          </w:tcPr>
          <w:p>
            <w:pPr>
              <w:pStyle w:val="53"/>
            </w:pPr>
            <w:r>
              <w:t>T</w:t>
            </w:r>
            <w:r>
              <w:rPr>
                <w:vertAlign w:val="subscript"/>
              </w:rPr>
              <w:t>Evaluate_out_SSB,CCA</w:t>
            </w:r>
            <w:r>
              <w:t xml:space="preserve"> (ms)</w:t>
            </w:r>
          </w:p>
        </w:tc>
        <w:tc>
          <w:tcPr>
            <w:tcW w:w="2404" w:type="dxa"/>
            <w:tcBorders>
              <w:top w:val="single" w:color="auto" w:sz="4" w:space="0"/>
              <w:left w:val="single" w:color="auto" w:sz="4" w:space="0"/>
              <w:bottom w:val="nil"/>
              <w:right w:val="single" w:color="auto" w:sz="4" w:space="0"/>
            </w:tcBorders>
            <w:vAlign w:val="center"/>
          </w:tcPr>
          <w:p>
            <w:pPr>
              <w:pStyle w:val="53"/>
            </w:pPr>
            <w:r>
              <w:t>T</w:t>
            </w:r>
            <w:r>
              <w:rPr>
                <w:vertAlign w:val="subscript"/>
              </w:rPr>
              <w:t>Evaluate_in_SSB,CCA</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top w:val="nil"/>
              <w:left w:val="single" w:color="auto" w:sz="4" w:space="0"/>
              <w:right w:val="single" w:color="auto" w:sz="4" w:space="0"/>
            </w:tcBorders>
            <w:vAlign w:val="center"/>
          </w:tcPr>
          <w:p>
            <w:pPr>
              <w:pStyle w:val="53"/>
            </w:pPr>
          </w:p>
        </w:tc>
        <w:tc>
          <w:tcPr>
            <w:tcW w:w="2835" w:type="dxa"/>
            <w:tcBorders>
              <w:top w:val="single" w:color="auto" w:sz="4" w:space="0"/>
              <w:left w:val="single" w:color="auto" w:sz="4" w:space="0"/>
              <w:bottom w:val="single" w:color="auto" w:sz="4" w:space="0"/>
              <w:right w:val="single" w:color="auto" w:sz="4" w:space="0"/>
            </w:tcBorders>
            <w:vAlign w:val="center"/>
          </w:tcPr>
          <w:p>
            <w:pPr>
              <w:pStyle w:val="53"/>
            </w:pPr>
            <w:r>
              <w:t>RLM-RS SSB Es/Iot</w:t>
            </w:r>
            <w:r>
              <w:rPr>
                <w:vertAlign w:val="superscript"/>
              </w:rPr>
              <w:t>Note4</w:t>
            </w:r>
            <w:r>
              <w:t xml:space="preserve"> </w:t>
            </w:r>
            <w:r>
              <w:rPr>
                <w:rFonts w:cs="Arial"/>
              </w:rPr>
              <w:t>≥</w:t>
            </w:r>
            <w:r>
              <w:t>-7 dB</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pPr>
            <w:r>
              <w:t>RLM-RS SSB Es/Iot</w:t>
            </w:r>
            <w:r>
              <w:rPr>
                <w:vertAlign w:val="superscript"/>
              </w:rPr>
              <w:t xml:space="preserve"> Note4</w:t>
            </w:r>
            <w:r>
              <w:rPr>
                <w:rFonts w:cs="Arial"/>
              </w:rPr>
              <w:t xml:space="preserve"> &lt;</w:t>
            </w:r>
            <w:r>
              <w:t>-7 dB</w:t>
            </w:r>
          </w:p>
        </w:tc>
        <w:tc>
          <w:tcPr>
            <w:tcW w:w="2404" w:type="dxa"/>
            <w:tcBorders>
              <w:top w:val="nil"/>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pPr>
              <w:pStyle w:val="53"/>
            </w:pPr>
            <w:r>
              <w:t>no DRX</w:t>
            </w:r>
          </w:p>
        </w:tc>
        <w:tc>
          <w:tcPr>
            <w:tcW w:w="2835" w:type="dxa"/>
            <w:tcBorders>
              <w:top w:val="single" w:color="auto" w:sz="4" w:space="0"/>
              <w:left w:val="single" w:color="auto" w:sz="4" w:space="0"/>
              <w:bottom w:val="single" w:color="auto" w:sz="4" w:space="0"/>
              <w:right w:val="single" w:color="auto" w:sz="4" w:space="0"/>
            </w:tcBorders>
          </w:tcPr>
          <w:p>
            <w:pPr>
              <w:pStyle w:val="53"/>
            </w:pPr>
            <w:r>
              <w:t>Max(200, Ceil(17*P)*T</w:t>
            </w:r>
            <w:r>
              <w:rPr>
                <w:vertAlign w:val="subscript"/>
              </w:rPr>
              <w:t>SSB</w:t>
            </w:r>
            <w:r>
              <w:t>)</w:t>
            </w:r>
          </w:p>
        </w:tc>
        <w:tc>
          <w:tcPr>
            <w:tcW w:w="2977" w:type="dxa"/>
            <w:tcBorders>
              <w:top w:val="single" w:color="auto" w:sz="4" w:space="0"/>
              <w:left w:val="single" w:color="auto" w:sz="4" w:space="0"/>
              <w:bottom w:val="single" w:color="auto" w:sz="4" w:space="0"/>
              <w:right w:val="single" w:color="auto" w:sz="4" w:space="0"/>
            </w:tcBorders>
          </w:tcPr>
          <w:p>
            <w:pPr>
              <w:pStyle w:val="53"/>
            </w:pPr>
            <w:r>
              <w:t>Max(200, Ceil(24*P)*T</w:t>
            </w:r>
            <w:r>
              <w:rPr>
                <w:vertAlign w:val="subscript"/>
              </w:rPr>
              <w:t>SSB</w:t>
            </w:r>
            <w:r>
              <w:t>)</w:t>
            </w:r>
          </w:p>
        </w:tc>
        <w:tc>
          <w:tcPr>
            <w:tcW w:w="2404" w:type="dxa"/>
            <w:tcBorders>
              <w:top w:val="single" w:color="auto" w:sz="4" w:space="0"/>
              <w:left w:val="single" w:color="auto" w:sz="4" w:space="0"/>
              <w:bottom w:val="single" w:color="auto" w:sz="4" w:space="0"/>
              <w:right w:val="single" w:color="auto" w:sz="4" w:space="0"/>
            </w:tcBorders>
            <w:vAlign w:val="center"/>
          </w:tcPr>
          <w:p>
            <w:pPr>
              <w:pStyle w:val="53"/>
            </w:pPr>
            <w:r>
              <w:t>Max(100, Ceil((5+L</w:t>
            </w:r>
            <w:r>
              <w:rPr>
                <w:vertAlign w:val="subscript"/>
              </w:rPr>
              <w:t>in</w:t>
            </w:r>
            <w:r>
              <w:t>)*P)*T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pPr>
              <w:pStyle w:val="53"/>
            </w:pPr>
            <w:r>
              <w:t>DRX cycle</w:t>
            </w:r>
            <w:r>
              <w:rPr>
                <w:rFonts w:hint="eastAsia"/>
                <w:lang w:val="en-US"/>
              </w:rPr>
              <w:t>≤</w:t>
            </w:r>
            <w:r>
              <w:t>320</w:t>
            </w:r>
          </w:p>
        </w:tc>
        <w:tc>
          <w:tcPr>
            <w:tcW w:w="2835"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Max(200, Ceil(1.5*15*P)*Max(T</w:t>
            </w:r>
            <w:r>
              <w:rPr>
                <w:vertAlign w:val="subscript"/>
                <w:lang w:val="fr-FR"/>
              </w:rPr>
              <w:t>DRX</w:t>
            </w:r>
            <w:r>
              <w:rPr>
                <w:lang w:val="fr-FR"/>
              </w:rPr>
              <w:t>,T</w:t>
            </w:r>
            <w:r>
              <w:rPr>
                <w:vertAlign w:val="subscript"/>
                <w:lang w:val="fr-FR"/>
              </w:rPr>
              <w:t>SSB</w:t>
            </w:r>
            <w:r>
              <w:rPr>
                <w:lang w:val="fr-FR"/>
              </w:rPr>
              <w:t>))</w:t>
            </w:r>
          </w:p>
        </w:tc>
        <w:tc>
          <w:tcPr>
            <w:tcW w:w="2977"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Max(200, Ceil(1.5*20*P)*Max(T</w:t>
            </w:r>
            <w:r>
              <w:rPr>
                <w:vertAlign w:val="subscript"/>
                <w:lang w:val="fr-FR"/>
              </w:rPr>
              <w:t>DRX</w:t>
            </w:r>
            <w:r>
              <w:rPr>
                <w:lang w:val="fr-FR"/>
              </w:rPr>
              <w:t>,T</w:t>
            </w:r>
            <w:r>
              <w:rPr>
                <w:vertAlign w:val="subscript"/>
                <w:lang w:val="fr-FR"/>
              </w:rPr>
              <w:t>SSB</w:t>
            </w:r>
            <w:r>
              <w:rPr>
                <w:lang w:val="fr-FR"/>
              </w:rPr>
              <w:t>))</w:t>
            </w:r>
          </w:p>
        </w:tc>
        <w:tc>
          <w:tcPr>
            <w:tcW w:w="2404" w:type="dxa"/>
            <w:tcBorders>
              <w:top w:val="single" w:color="auto" w:sz="4" w:space="0"/>
              <w:left w:val="single" w:color="auto" w:sz="4" w:space="0"/>
              <w:bottom w:val="single" w:color="auto" w:sz="4" w:space="0"/>
              <w:right w:val="single" w:color="auto" w:sz="4" w:space="0"/>
            </w:tcBorders>
            <w:vAlign w:val="center"/>
          </w:tcPr>
          <w:p>
            <w:pPr>
              <w:pStyle w:val="53"/>
            </w:pPr>
            <w:r>
              <w:t>Max(100, Ceil(1.5*(5+L</w:t>
            </w:r>
            <w:r>
              <w:rPr>
                <w:vertAlign w:val="subscript"/>
              </w:rPr>
              <w:t>in</w:t>
            </w:r>
            <w:r>
              <w:t>)*P)*Max(T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pPr>
              <w:pStyle w:val="53"/>
            </w:pPr>
            <w:r>
              <w:t>DRX cycle&gt;320</w:t>
            </w:r>
          </w:p>
        </w:tc>
        <w:tc>
          <w:tcPr>
            <w:tcW w:w="2835" w:type="dxa"/>
            <w:tcBorders>
              <w:top w:val="single" w:color="auto" w:sz="4" w:space="0"/>
              <w:left w:val="single" w:color="auto" w:sz="4" w:space="0"/>
              <w:bottom w:val="single" w:color="auto" w:sz="4" w:space="0"/>
              <w:right w:val="single" w:color="auto" w:sz="4" w:space="0"/>
            </w:tcBorders>
          </w:tcPr>
          <w:p>
            <w:pPr>
              <w:pStyle w:val="53"/>
            </w:pPr>
            <w:r>
              <w:t>Ceil(13*P)*T</w:t>
            </w:r>
            <w:r>
              <w:rPr>
                <w:vertAlign w:val="subscript"/>
              </w:rPr>
              <w:t>DRX</w:t>
            </w:r>
          </w:p>
        </w:tc>
        <w:tc>
          <w:tcPr>
            <w:tcW w:w="2977" w:type="dxa"/>
            <w:tcBorders>
              <w:top w:val="single" w:color="auto" w:sz="4" w:space="0"/>
              <w:left w:val="single" w:color="auto" w:sz="4" w:space="0"/>
              <w:bottom w:val="single" w:color="auto" w:sz="4" w:space="0"/>
              <w:right w:val="single" w:color="auto" w:sz="4" w:space="0"/>
            </w:tcBorders>
          </w:tcPr>
          <w:p>
            <w:pPr>
              <w:pStyle w:val="53"/>
            </w:pPr>
            <w:r>
              <w:t>Ceil(16*P)*T</w:t>
            </w:r>
            <w:r>
              <w:rPr>
                <w:vertAlign w:val="subscript"/>
              </w:rPr>
              <w:t>DRX</w:t>
            </w:r>
          </w:p>
        </w:tc>
        <w:tc>
          <w:tcPr>
            <w:tcW w:w="2404" w:type="dxa"/>
            <w:tcBorders>
              <w:top w:val="single" w:color="auto" w:sz="4" w:space="0"/>
              <w:left w:val="single" w:color="auto" w:sz="4" w:space="0"/>
              <w:bottom w:val="single" w:color="auto" w:sz="4" w:space="0"/>
              <w:right w:val="single" w:color="auto" w:sz="4" w:space="0"/>
            </w:tcBorders>
            <w:vAlign w:val="center"/>
          </w:tcPr>
          <w:p>
            <w:pPr>
              <w:pStyle w:val="53"/>
            </w:pPr>
            <w:r>
              <w:t>Ceil((5+L</w:t>
            </w:r>
            <w:r>
              <w:rPr>
                <w:vertAlign w:val="subscript"/>
              </w:rPr>
              <w:t>in</w:t>
            </w:r>
            <w:r>
              <w:t>)*P)*T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68"/>
              <w:rPr>
                <w:rFonts w:ascii="Times New Roman" w:hAnsi="Times New Roman" w:eastAsia="?? ??"/>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pPr>
              <w:pStyle w:val="68"/>
              <w:rPr>
                <w:rFonts w:ascii="Times New Roman" w:hAnsi="Times New Roman" w:eastAsia="?? ??"/>
                <w:sz w:val="20"/>
              </w:rPr>
            </w:pPr>
            <w:r>
              <w:t>NOTE 2:</w:t>
            </w:r>
            <w:r>
              <w:rPr>
                <w:rFonts w:eastAsia="?? ??"/>
              </w:rPr>
              <w:tab/>
            </w:r>
            <w:r>
              <w:t>L</w:t>
            </w:r>
            <w:r>
              <w:rPr>
                <w:vertAlign w:val="subscript"/>
              </w:rPr>
              <w:t>in</w:t>
            </w:r>
            <w:r>
              <w:t xml:space="preserve"> is the number of RLM-RS SSB occasions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bookmarkStart w:id="4" w:name="SSB_RLM"/>
            <w:r>
              <w:t>[</w:t>
            </w:r>
            <w:r>
              <w:rPr>
                <w:highlight w:val="yellow"/>
              </w:rPr>
              <w:t>The UE is not required to determine the availability of SSB occasions more frequent than once per DRX cycle length, when configured with DRX</w:t>
            </w:r>
            <w:r>
              <w:t>.]</w:t>
            </w:r>
            <w:bookmarkEnd w:id="4"/>
          </w:p>
          <w:p>
            <w:pPr>
              <w:pStyle w:val="68"/>
              <w:rPr>
                <w:rFonts w:ascii="Times New Roman" w:hAnsi="Times New Roman" w:eastAsia="?? ??"/>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pPr>
              <w:pStyle w:val="68"/>
              <w:rPr>
                <w:rFonts w:ascii="Times New Roman" w:hAnsi="Times New Roman" w:eastAsia="?? ??"/>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pPr>
              <w:pStyle w:val="68"/>
              <w:rPr>
                <w:rFonts w:ascii="Times New Roman" w:hAnsi="Times New Roman" w:eastAsia="?? ??"/>
                <w:sz w:val="20"/>
              </w:rPr>
            </w:pPr>
            <w:r>
              <w:rPr>
                <w:rFonts w:eastAsia="?? ??"/>
              </w:rPr>
              <w:tab/>
            </w:r>
            <w:r>
              <w:t>L</w:t>
            </w:r>
            <w:r>
              <w:rPr>
                <w:vertAlign w:val="subscript"/>
              </w:rPr>
              <w:t>in,max</w:t>
            </w:r>
            <w:r>
              <w:t>=3 for T</w:t>
            </w:r>
            <w:r>
              <w:rPr>
                <w:vertAlign w:val="subscript"/>
              </w:rPr>
              <w:t>DRX</w:t>
            </w:r>
            <w:r>
              <w:t>&gt;320.</w:t>
            </w:r>
          </w:p>
          <w:p>
            <w:pPr>
              <w:pStyle w:val="68"/>
              <w:rPr>
                <w:rFonts w:ascii="Times New Roman" w:hAnsi="Times New Roman" w:eastAsia="?? ??"/>
                <w:sz w:val="20"/>
              </w:rPr>
            </w:pPr>
            <w:r>
              <w:t>NOTE 4:</w:t>
            </w:r>
            <w:r>
              <w:rPr>
                <w:rFonts w:eastAsia="?? ??"/>
              </w:rPr>
              <w:tab/>
            </w:r>
            <w:r>
              <w:t>RLM-RS SSB Es/Iot is the averaged Es/Iot over the most recent previous out-of-sync evaluation period.</w:t>
            </w:r>
          </w:p>
        </w:tc>
      </w:tr>
    </w:tbl>
    <w:p>
      <w:pPr>
        <w:rPr>
          <w:rFonts w:hint="eastAsia" w:eastAsia="宋体"/>
          <w:lang w:val="en-US" w:eastAsia="zh-CN"/>
        </w:rPr>
      </w:pPr>
    </w:p>
    <w:p>
      <w:pPr>
        <w:pStyle w:val="84"/>
        <w:numPr>
          <w:ilvl w:val="0"/>
          <w:numId w:val="0"/>
        </w:numPr>
        <w:rPr>
          <w:rFonts w:hint="eastAsia" w:eastAsia="宋体"/>
          <w:lang w:val="en-US" w:eastAsia="zh-CN"/>
        </w:rPr>
      </w:pPr>
      <w:r>
        <w:rPr>
          <w:rFonts w:hint="eastAsia" w:eastAsia="宋体"/>
          <w:b/>
          <w:bCs/>
          <w:lang w:val="en-US" w:eastAsia="zh-CN"/>
        </w:rPr>
        <w:t>Observation 1: The availability of SSB occasions for RLM was agreed previously with L1 indication interval, which is derived as the RLM evaluation period related to P factor.</w:t>
      </w:r>
    </w:p>
    <w:p>
      <w:pPr>
        <w:rPr>
          <w:rFonts w:hint="default" w:eastAsia="宋体"/>
          <w:lang w:val="en-US" w:eastAsia="zh-CN"/>
        </w:rPr>
      </w:pPr>
      <w:r>
        <w:rPr>
          <w:rFonts w:hint="eastAsia" w:eastAsia="宋体"/>
          <w:lang w:val="en-US" w:eastAsia="zh-CN"/>
        </w:rPr>
        <w:t xml:space="preserve">As for the availability of SSB occasions for BFD, P factor should also be considered since UE would not perform BFD in MG duration. The availability of SSB occasions for BFD can be derived from </w:t>
      </w:r>
      <w:r>
        <w:t xml:space="preserve">the </w:t>
      </w:r>
      <w:r>
        <w:rPr>
          <w:rFonts w:hint="eastAsia" w:eastAsia="宋体"/>
          <w:lang w:val="en-US" w:eastAsia="zh-CN"/>
        </w:rPr>
        <w:t>BFD</w:t>
      </w:r>
      <w:r>
        <w:t xml:space="preserve"> evaluation period in </w:t>
      </w:r>
      <w:r>
        <w:rPr>
          <w:rFonts w:hint="eastAsia" w:eastAsia="宋体"/>
          <w:lang w:val="en-US" w:eastAsia="zh-CN"/>
        </w:rPr>
        <w:t>Table 8.5A.2.2-1. Therefore, we propose that when the DRX is configured and T</w:t>
      </w:r>
      <w:r>
        <w:rPr>
          <w:rFonts w:hint="eastAsia" w:eastAsia="宋体"/>
          <w:vertAlign w:val="subscript"/>
          <w:lang w:val="en-US" w:eastAsia="zh-CN"/>
        </w:rPr>
        <w:t xml:space="preserve">DRX </w:t>
      </w:r>
      <w:r>
        <w:rPr>
          <w:rFonts w:hint="default"/>
          <w:lang w:val="en-US" w:eastAsia="zh-CN"/>
        </w:rPr>
        <w:t>≤ 320ms</w:t>
      </w:r>
      <w:r>
        <w:rPr>
          <w:rFonts w:hint="eastAsia"/>
          <w:lang w:val="en-US" w:eastAsia="zh-CN"/>
        </w:rPr>
        <w:t>,</w:t>
      </w:r>
      <w:r>
        <w:rPr>
          <w:rFonts w:hint="eastAsia" w:eastAsia="宋体"/>
          <w:lang w:val="en-US" w:eastAsia="zh-CN"/>
        </w:rPr>
        <w:t xml:space="preserve"> the UE should be not required to determine the availability of SSB occasions for BFD more frequent than once per Max(50ms, P*Max(T</w:t>
      </w:r>
      <w:r>
        <w:rPr>
          <w:rFonts w:hint="eastAsia" w:eastAsia="宋体"/>
          <w:vertAlign w:val="subscript"/>
          <w:lang w:val="en-US" w:eastAsia="zh-CN"/>
        </w:rPr>
        <w:t>DRX</w:t>
      </w:r>
      <w:r>
        <w:rPr>
          <w:rFonts w:hint="eastAsia" w:eastAsia="宋体"/>
          <w:lang w:val="en-US" w:eastAsia="zh-CN"/>
        </w:rPr>
        <w:t>, T</w:t>
      </w:r>
      <w:r>
        <w:rPr>
          <w:rFonts w:hint="eastAsia" w:eastAsia="宋体"/>
          <w:vertAlign w:val="subscript"/>
          <w:lang w:val="en-US" w:eastAsia="zh-CN"/>
        </w:rPr>
        <w:t>SSB</w:t>
      </w:r>
      <w:r>
        <w:rPr>
          <w:rFonts w:hint="eastAsia" w:eastAsia="宋体"/>
          <w:lang w:val="en-US" w:eastAsia="zh-CN"/>
        </w:rPr>
        <w:t>)). If T</w:t>
      </w:r>
      <w:r>
        <w:rPr>
          <w:rFonts w:hint="eastAsia" w:eastAsia="宋体"/>
          <w:vertAlign w:val="subscript"/>
          <w:lang w:val="en-US" w:eastAsia="zh-CN"/>
        </w:rPr>
        <w:t xml:space="preserve">DRX </w:t>
      </w:r>
      <w:r>
        <w:rPr>
          <w:rFonts w:hint="eastAsia"/>
          <w:lang w:val="en-US" w:eastAsia="zh-CN"/>
        </w:rPr>
        <w:t xml:space="preserve">&gt; </w:t>
      </w:r>
      <w:r>
        <w:rPr>
          <w:rFonts w:hint="default"/>
          <w:lang w:val="en-US" w:eastAsia="zh-CN"/>
        </w:rPr>
        <w:t>320ms</w:t>
      </w:r>
      <w:r>
        <w:rPr>
          <w:rFonts w:hint="eastAsia"/>
          <w:lang w:val="en-US" w:eastAsia="zh-CN"/>
        </w:rPr>
        <w:t>,</w:t>
      </w:r>
      <w:r>
        <w:rPr>
          <w:rFonts w:hint="eastAsia" w:eastAsia="宋体"/>
          <w:lang w:val="en-US" w:eastAsia="zh-CN"/>
        </w:rPr>
        <w:t xml:space="preserve"> the UE should be not required to determine the availability of SSB occasions for BFD more frequent than once per P*T</w:t>
      </w:r>
      <w:r>
        <w:rPr>
          <w:rFonts w:hint="eastAsia" w:eastAsia="宋体"/>
          <w:vertAlign w:val="subscript"/>
          <w:lang w:val="en-US" w:eastAsia="zh-CN"/>
        </w:rPr>
        <w:t>DRX</w:t>
      </w:r>
      <w:r>
        <w:rPr>
          <w:rFonts w:hint="eastAsia" w:eastAsia="宋体"/>
          <w:lang w:val="en-US" w:eastAsia="zh-CN"/>
        </w:rPr>
        <w:t>.</w:t>
      </w:r>
    </w:p>
    <w:p>
      <w:pPr>
        <w:pStyle w:val="57"/>
        <w:rPr>
          <w:lang w:val="en-US"/>
        </w:rPr>
      </w:pPr>
      <w:r>
        <w:rPr>
          <w:lang w:val="en-US"/>
        </w:rPr>
        <w:t>Table 8.5A.2.2-1: Evaluation period T</w:t>
      </w:r>
      <w:r>
        <w:rPr>
          <w:vertAlign w:val="subscript"/>
          <w:lang w:val="en-US"/>
        </w:rPr>
        <w:t>Evaluate_BFD_SSB_CCA</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3813"/>
        <w:gridCol w:w="3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852" w:type="dxa"/>
            <w:tcBorders>
              <w:top w:val="single" w:color="auto" w:sz="4" w:space="0"/>
              <w:left w:val="single" w:color="auto" w:sz="4" w:space="0"/>
              <w:bottom w:val="nil"/>
              <w:right w:val="single" w:color="auto" w:sz="4" w:space="0"/>
            </w:tcBorders>
            <w:shd w:val="clear" w:color="auto" w:fill="auto"/>
          </w:tcPr>
          <w:p>
            <w:pPr>
              <w:pStyle w:val="53"/>
              <w:rPr>
                <w:lang w:val="en-US"/>
              </w:rPr>
            </w:pPr>
            <w:r>
              <w:rPr>
                <w:lang w:val="en-US"/>
              </w:rPr>
              <w:t>Configuration</w:t>
            </w:r>
          </w:p>
        </w:tc>
        <w:tc>
          <w:tcPr>
            <w:tcW w:w="7777"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T</w:t>
            </w:r>
            <w:r>
              <w:rPr>
                <w:vertAlign w:val="subscript"/>
                <w:lang w:val="en-US"/>
              </w:rPr>
              <w:t>Evaluate_BFD_SSB_CCA</w:t>
            </w:r>
            <w:r>
              <w:rPr>
                <w:lang w:val="en-US"/>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p>
        </w:tc>
        <w:tc>
          <w:tcPr>
            <w:tcW w:w="3813" w:type="dxa"/>
            <w:tcBorders>
              <w:top w:val="single" w:color="auto" w:sz="4" w:space="0"/>
              <w:left w:val="single" w:color="auto" w:sz="4" w:space="0"/>
              <w:bottom w:val="single" w:color="auto" w:sz="4" w:space="0"/>
              <w:right w:val="single" w:color="auto" w:sz="4" w:space="0"/>
            </w:tcBorders>
          </w:tcPr>
          <w:p>
            <w:pPr>
              <w:pStyle w:val="54"/>
              <w:rPr>
                <w:b/>
                <w:bCs/>
                <w:lang w:val="en-US"/>
              </w:rPr>
            </w:pPr>
            <w:r>
              <w:rPr>
                <w:b/>
                <w:bCs/>
                <w:lang w:val="en-US"/>
              </w:rPr>
              <w:t xml:space="preserve">BFD-RS SSB Es/Iot </w:t>
            </w:r>
            <w:r>
              <w:rPr>
                <w:b/>
                <w:bCs/>
                <w:vertAlign w:val="superscript"/>
                <w:lang w:val="en-US"/>
              </w:rPr>
              <w:t>Note2</w:t>
            </w:r>
            <w:r>
              <w:rPr>
                <w:b/>
                <w:bCs/>
                <w:lang w:val="en-US"/>
              </w:rPr>
              <w:t xml:space="preserve"> </w:t>
            </w:r>
            <w:r>
              <w:rPr>
                <w:rFonts w:cs="Arial"/>
                <w:b/>
                <w:bCs/>
                <w:lang w:val="en-US"/>
              </w:rPr>
              <w:t xml:space="preserve">≥ </w:t>
            </w:r>
            <w:r>
              <w:rPr>
                <w:b/>
                <w:bCs/>
                <w:lang w:val="en-US"/>
              </w:rPr>
              <w:t>-7 dB</w:t>
            </w:r>
          </w:p>
        </w:tc>
        <w:tc>
          <w:tcPr>
            <w:tcW w:w="3964" w:type="dxa"/>
            <w:tcBorders>
              <w:top w:val="single" w:color="auto" w:sz="4" w:space="0"/>
              <w:left w:val="single" w:color="auto" w:sz="4" w:space="0"/>
              <w:bottom w:val="single" w:color="auto" w:sz="4" w:space="0"/>
              <w:right w:val="single" w:color="auto" w:sz="4" w:space="0"/>
            </w:tcBorders>
          </w:tcPr>
          <w:p>
            <w:pPr>
              <w:pStyle w:val="54"/>
              <w:rPr>
                <w:b/>
                <w:bCs/>
                <w:lang w:val="en-US"/>
              </w:rPr>
            </w:pPr>
            <w:r>
              <w:rPr>
                <w:b/>
                <w:bCs/>
                <w:lang w:val="en-US"/>
              </w:rPr>
              <w:t xml:space="preserve">BFD-RS SSB Es/Iot </w:t>
            </w:r>
            <w:r>
              <w:rPr>
                <w:b/>
                <w:bCs/>
                <w:vertAlign w:val="superscript"/>
                <w:lang w:val="en-US"/>
              </w:rPr>
              <w:t>Note2</w:t>
            </w:r>
            <w:r>
              <w:rPr>
                <w:b/>
                <w:bCs/>
                <w:lang w:val="en-US"/>
              </w:rPr>
              <w:t xml:space="preserve"> </w:t>
            </w:r>
            <w:r>
              <w:rPr>
                <w:rFonts w:cs="Arial"/>
                <w:b/>
                <w:bCs/>
                <w:lang w:val="en-US"/>
              </w:rPr>
              <w:t xml:space="preserve">&lt; </w:t>
            </w:r>
            <w:r>
              <w:rPr>
                <w:b/>
                <w:bCs/>
                <w:lang w:val="en-US"/>
              </w:rPr>
              <w:t>-7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2" w:type="dxa"/>
            <w:tcBorders>
              <w:top w:val="single" w:color="auto" w:sz="4" w:space="0"/>
              <w:left w:val="single" w:color="auto" w:sz="4" w:space="0"/>
              <w:bottom w:val="single" w:color="auto" w:sz="4" w:space="0"/>
              <w:right w:val="single" w:color="auto" w:sz="4" w:space="0"/>
            </w:tcBorders>
          </w:tcPr>
          <w:p>
            <w:pPr>
              <w:pStyle w:val="54"/>
              <w:rPr>
                <w:b/>
                <w:bCs/>
                <w:lang w:val="en-US"/>
              </w:rPr>
            </w:pPr>
            <w:r>
              <w:rPr>
                <w:b/>
                <w:bCs/>
                <w:lang w:val="en-US"/>
              </w:rPr>
              <w:t>no DRX</w:t>
            </w:r>
          </w:p>
        </w:tc>
        <w:tc>
          <w:tcPr>
            <w:tcW w:w="3813" w:type="dxa"/>
            <w:tcBorders>
              <w:top w:val="single" w:color="auto" w:sz="4" w:space="0"/>
              <w:left w:val="single" w:color="auto" w:sz="4" w:space="0"/>
              <w:bottom w:val="single" w:color="auto" w:sz="4" w:space="0"/>
              <w:right w:val="single" w:color="auto" w:sz="4" w:space="0"/>
            </w:tcBorders>
          </w:tcPr>
          <w:p>
            <w:pPr>
              <w:pStyle w:val="54"/>
              <w:rPr>
                <w:b/>
                <w:bCs/>
                <w:lang w:val="en-US"/>
              </w:rPr>
            </w:pPr>
            <w:r>
              <w:rPr>
                <w:rFonts w:cs="v4.2.0"/>
                <w:b/>
                <w:bCs/>
                <w:lang w:val="en-US"/>
              </w:rPr>
              <w:t xml:space="preserve">Max(50, Ceil((10 </w:t>
            </w:r>
            <w:r>
              <w:rPr>
                <w:rFonts w:cs="Arial"/>
                <w:b/>
                <w:bCs/>
                <w:szCs w:val="18"/>
                <w:lang w:val="en-US"/>
              </w:rPr>
              <w:sym w:font="Symbol" w:char="F0B4"/>
            </w:r>
            <w:r>
              <w:rPr>
                <w:rFonts w:cs="Arial"/>
                <w:b/>
                <w:bCs/>
                <w:szCs w:val="18"/>
                <w:lang w:val="en-US"/>
              </w:rPr>
              <w:t xml:space="preserve"> </w:t>
            </w:r>
            <w:r>
              <w:rPr>
                <w:rFonts w:cs="v4.2.0"/>
                <w:b/>
                <w:bCs/>
                <w:lang w:val="en-US"/>
              </w:rPr>
              <w:t xml:space="preserve">P) </w:t>
            </w:r>
            <w:r>
              <w:rPr>
                <w:rFonts w:cs="Arial"/>
                <w:b/>
                <w:bCs/>
                <w:szCs w:val="18"/>
                <w:lang w:val="en-US"/>
              </w:rPr>
              <w:sym w:font="Symbol" w:char="F0B4"/>
            </w:r>
            <w:r>
              <w:rPr>
                <w:rFonts w:cs="Arial"/>
                <w:b/>
                <w:bCs/>
                <w:szCs w:val="18"/>
                <w:lang w:val="en-US"/>
              </w:rPr>
              <w:t xml:space="preserve"> </w:t>
            </w:r>
            <w:r>
              <w:rPr>
                <w:rFonts w:cs="v4.2.0"/>
                <w:b/>
                <w:bCs/>
                <w:lang w:val="en-US"/>
              </w:rPr>
              <w:t>T</w:t>
            </w:r>
            <w:r>
              <w:rPr>
                <w:rFonts w:cs="v4.2.0"/>
                <w:b/>
                <w:bCs/>
                <w:vertAlign w:val="subscript"/>
                <w:lang w:val="en-US"/>
              </w:rPr>
              <w:t>SSB</w:t>
            </w:r>
            <w:r>
              <w:rPr>
                <w:rFonts w:cs="v4.2.0"/>
                <w:b/>
                <w:bCs/>
                <w:lang w:val="en-US"/>
              </w:rPr>
              <w:t>))</w:t>
            </w:r>
          </w:p>
        </w:tc>
        <w:tc>
          <w:tcPr>
            <w:tcW w:w="3964" w:type="dxa"/>
            <w:tcBorders>
              <w:top w:val="single" w:color="auto" w:sz="4" w:space="0"/>
              <w:left w:val="single" w:color="auto" w:sz="4" w:space="0"/>
              <w:bottom w:val="single" w:color="auto" w:sz="4" w:space="0"/>
              <w:right w:val="single" w:color="auto" w:sz="4" w:space="0"/>
            </w:tcBorders>
          </w:tcPr>
          <w:p>
            <w:pPr>
              <w:pStyle w:val="54"/>
              <w:rPr>
                <w:rFonts w:cs="v4.2.0"/>
                <w:b/>
                <w:bCs/>
                <w:lang w:val="en-US"/>
              </w:rPr>
            </w:pPr>
            <w:r>
              <w:rPr>
                <w:rFonts w:cs="v4.2.0"/>
                <w:b/>
                <w:bCs/>
                <w:lang w:val="en-US"/>
              </w:rPr>
              <w:t xml:space="preserve">Max(50, Ceil((12 </w:t>
            </w:r>
            <w:r>
              <w:rPr>
                <w:rFonts w:cs="Arial"/>
                <w:b/>
                <w:bCs/>
                <w:szCs w:val="18"/>
                <w:lang w:val="en-US"/>
              </w:rPr>
              <w:sym w:font="Symbol" w:char="F0B4"/>
            </w:r>
            <w:r>
              <w:rPr>
                <w:rFonts w:cs="Arial"/>
                <w:b/>
                <w:bCs/>
                <w:szCs w:val="18"/>
                <w:lang w:val="en-US"/>
              </w:rPr>
              <w:t xml:space="preserve"> </w:t>
            </w:r>
            <w:r>
              <w:rPr>
                <w:rFonts w:cs="v4.2.0"/>
                <w:b/>
                <w:bCs/>
                <w:lang w:val="en-US"/>
              </w:rPr>
              <w:t xml:space="preserve">P) </w:t>
            </w:r>
            <w:r>
              <w:rPr>
                <w:rFonts w:cs="Arial"/>
                <w:b/>
                <w:bCs/>
                <w:szCs w:val="18"/>
                <w:lang w:val="en-US"/>
              </w:rPr>
              <w:sym w:font="Symbol" w:char="F0B4"/>
            </w:r>
            <w:r>
              <w:rPr>
                <w:rFonts w:cs="Arial"/>
                <w:b/>
                <w:bCs/>
                <w:szCs w:val="18"/>
                <w:lang w:val="en-US"/>
              </w:rPr>
              <w:t xml:space="preserve"> </w:t>
            </w:r>
            <w:r>
              <w:rPr>
                <w:rFonts w:cs="v4.2.0"/>
                <w:b/>
                <w:bCs/>
                <w:lang w:val="en-US"/>
              </w:rPr>
              <w:t>T</w:t>
            </w:r>
            <w:r>
              <w:rPr>
                <w:rFonts w:cs="v4.2.0"/>
                <w:b/>
                <w:bCs/>
                <w:vertAlign w:val="subscript"/>
                <w:lang w:val="en-US"/>
              </w:rPr>
              <w:t>SSB</w:t>
            </w:r>
            <w:r>
              <w:rPr>
                <w:rFonts w:cs="v4.2.0"/>
                <w:b/>
                <w:bCs/>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2" w:type="dxa"/>
            <w:tcBorders>
              <w:top w:val="single" w:color="auto" w:sz="4" w:space="0"/>
              <w:left w:val="single" w:color="auto" w:sz="4" w:space="0"/>
              <w:bottom w:val="single" w:color="auto" w:sz="4" w:space="0"/>
              <w:right w:val="single" w:color="auto" w:sz="4" w:space="0"/>
            </w:tcBorders>
          </w:tcPr>
          <w:p>
            <w:pPr>
              <w:pStyle w:val="54"/>
              <w:rPr>
                <w:b/>
                <w:bCs/>
                <w:lang w:val="en-US"/>
              </w:rPr>
            </w:pPr>
            <w:r>
              <w:rPr>
                <w:b/>
                <w:bCs/>
                <w:lang w:val="en-US"/>
              </w:rPr>
              <w:t xml:space="preserve">DRX cycle </w:t>
            </w:r>
            <w:r>
              <w:rPr>
                <w:rFonts w:cs="Arial"/>
                <w:b/>
                <w:bCs/>
                <w:lang w:val="en-US"/>
              </w:rPr>
              <w:t xml:space="preserve">≤ </w:t>
            </w:r>
            <w:r>
              <w:rPr>
                <w:b/>
                <w:bCs/>
                <w:lang w:val="en-US"/>
              </w:rPr>
              <w:t>320ms</w:t>
            </w:r>
          </w:p>
        </w:tc>
        <w:tc>
          <w:tcPr>
            <w:tcW w:w="3813" w:type="dxa"/>
            <w:tcBorders>
              <w:top w:val="single" w:color="auto" w:sz="4" w:space="0"/>
              <w:left w:val="single" w:color="auto" w:sz="4" w:space="0"/>
              <w:bottom w:val="single" w:color="auto" w:sz="4" w:space="0"/>
              <w:right w:val="single" w:color="auto" w:sz="4" w:space="0"/>
            </w:tcBorders>
          </w:tcPr>
          <w:p>
            <w:pPr>
              <w:pStyle w:val="54"/>
              <w:rPr>
                <w:b/>
                <w:bCs/>
                <w:lang w:val="fr-FR"/>
              </w:rPr>
            </w:pPr>
            <w:r>
              <w:rPr>
                <w:rFonts w:cs="v4.2.0"/>
                <w:b/>
                <w:bCs/>
                <w:lang w:val="fr-FR"/>
              </w:rPr>
              <w:t xml:space="preserve">Max(50, Ceil(1.5 </w:t>
            </w:r>
            <w:r>
              <w:rPr>
                <w:rFonts w:cs="Arial"/>
                <w:b/>
                <w:bCs/>
                <w:szCs w:val="18"/>
                <w:lang w:val="en-US"/>
              </w:rPr>
              <w:sym w:font="Symbol" w:char="F0B4"/>
            </w:r>
            <w:r>
              <w:rPr>
                <w:rFonts w:cs="Arial"/>
                <w:b/>
                <w:bCs/>
                <w:szCs w:val="18"/>
                <w:lang w:val="fr-FR"/>
              </w:rPr>
              <w:t xml:space="preserve"> 8 </w:t>
            </w:r>
            <w:r>
              <w:rPr>
                <w:rFonts w:cs="Arial"/>
                <w:b/>
                <w:bCs/>
                <w:szCs w:val="18"/>
                <w:lang w:val="en-US"/>
              </w:rPr>
              <w:sym w:font="Symbol" w:char="F0B4"/>
            </w:r>
            <w:r>
              <w:rPr>
                <w:rFonts w:cs="Arial"/>
                <w:b/>
                <w:bCs/>
                <w:szCs w:val="18"/>
                <w:lang w:val="fr-FR"/>
              </w:rPr>
              <w:t xml:space="preserve"> </w:t>
            </w:r>
            <w:r>
              <w:rPr>
                <w:rFonts w:cs="v4.2.0"/>
                <w:b/>
                <w:bCs/>
                <w:lang w:val="fr-FR"/>
              </w:rPr>
              <w:t xml:space="preserve">P) </w:t>
            </w:r>
            <w:r>
              <w:rPr>
                <w:rFonts w:cs="Arial"/>
                <w:b/>
                <w:bCs/>
                <w:szCs w:val="18"/>
                <w:lang w:val="en-US"/>
              </w:rPr>
              <w:sym w:font="Symbol" w:char="F0B4"/>
            </w:r>
            <w:r>
              <w:rPr>
                <w:rFonts w:cs="Arial"/>
                <w:b/>
                <w:bCs/>
                <w:szCs w:val="18"/>
                <w:lang w:val="fr-FR"/>
              </w:rPr>
              <w:t xml:space="preserve"> </w:t>
            </w:r>
            <w:r>
              <w:rPr>
                <w:rFonts w:cs="v4.2.0"/>
                <w:b/>
                <w:bCs/>
                <w:lang w:val="fr-FR"/>
              </w:rPr>
              <w:t>Max(T</w:t>
            </w:r>
            <w:r>
              <w:rPr>
                <w:rFonts w:cs="v4.2.0"/>
                <w:b/>
                <w:bCs/>
                <w:vertAlign w:val="subscript"/>
                <w:lang w:val="fr-FR"/>
              </w:rPr>
              <w:t>DRX</w:t>
            </w:r>
            <w:r>
              <w:rPr>
                <w:rFonts w:cs="v4.2.0"/>
                <w:b/>
                <w:bCs/>
                <w:lang w:val="fr-FR"/>
              </w:rPr>
              <w:t>,T</w:t>
            </w:r>
            <w:r>
              <w:rPr>
                <w:rFonts w:cs="v4.2.0"/>
                <w:b/>
                <w:bCs/>
                <w:vertAlign w:val="subscript"/>
                <w:lang w:val="fr-FR"/>
              </w:rPr>
              <w:t>SSB</w:t>
            </w:r>
            <w:r>
              <w:rPr>
                <w:rFonts w:cs="v4.2.0"/>
                <w:b/>
                <w:bCs/>
                <w:lang w:val="fr-FR"/>
              </w:rPr>
              <w:t>))</w:t>
            </w:r>
          </w:p>
        </w:tc>
        <w:tc>
          <w:tcPr>
            <w:tcW w:w="3964" w:type="dxa"/>
            <w:tcBorders>
              <w:top w:val="single" w:color="auto" w:sz="4" w:space="0"/>
              <w:left w:val="single" w:color="auto" w:sz="4" w:space="0"/>
              <w:bottom w:val="single" w:color="auto" w:sz="4" w:space="0"/>
              <w:right w:val="single" w:color="auto" w:sz="4" w:space="0"/>
            </w:tcBorders>
          </w:tcPr>
          <w:p>
            <w:pPr>
              <w:pStyle w:val="54"/>
              <w:rPr>
                <w:rFonts w:cs="v4.2.0"/>
                <w:b/>
                <w:bCs/>
                <w:lang w:val="fr-FR"/>
              </w:rPr>
            </w:pPr>
            <w:r>
              <w:rPr>
                <w:rFonts w:cs="v4.2.0"/>
                <w:b/>
                <w:bCs/>
                <w:lang w:val="fr-FR"/>
              </w:rPr>
              <w:t xml:space="preserve">Max(50, Ceil(1.5 </w:t>
            </w:r>
            <w:r>
              <w:rPr>
                <w:rFonts w:cs="Arial"/>
                <w:b/>
                <w:bCs/>
                <w:szCs w:val="18"/>
                <w:lang w:val="en-US"/>
              </w:rPr>
              <w:sym w:font="Symbol" w:char="F0B4"/>
            </w:r>
            <w:r>
              <w:rPr>
                <w:rFonts w:cs="Arial"/>
                <w:b/>
                <w:bCs/>
                <w:szCs w:val="18"/>
                <w:lang w:val="fr-FR"/>
              </w:rPr>
              <w:t xml:space="preserve"> 10</w:t>
            </w:r>
            <w:r>
              <w:rPr>
                <w:rFonts w:cs="v4.2.0"/>
                <w:b/>
                <w:bCs/>
                <w:lang w:val="fr-FR"/>
              </w:rPr>
              <w:t xml:space="preserve"> </w:t>
            </w:r>
            <w:r>
              <w:rPr>
                <w:rFonts w:cs="Arial"/>
                <w:b/>
                <w:bCs/>
                <w:szCs w:val="18"/>
                <w:lang w:val="en-US"/>
              </w:rPr>
              <w:sym w:font="Symbol" w:char="F0B4"/>
            </w:r>
            <w:r>
              <w:rPr>
                <w:rFonts w:cs="Arial"/>
                <w:b/>
                <w:bCs/>
                <w:szCs w:val="18"/>
                <w:lang w:val="fr-FR"/>
              </w:rPr>
              <w:t xml:space="preserve"> </w:t>
            </w:r>
            <w:r>
              <w:rPr>
                <w:rFonts w:cs="v4.2.0"/>
                <w:b/>
                <w:bCs/>
                <w:lang w:val="fr-FR"/>
              </w:rPr>
              <w:t xml:space="preserve">P) </w:t>
            </w:r>
            <w:r>
              <w:rPr>
                <w:rFonts w:cs="Arial"/>
                <w:b/>
                <w:bCs/>
                <w:szCs w:val="18"/>
                <w:lang w:val="en-US"/>
              </w:rPr>
              <w:sym w:font="Symbol" w:char="F0B4"/>
            </w:r>
            <w:r>
              <w:rPr>
                <w:rFonts w:cs="Arial"/>
                <w:b/>
                <w:bCs/>
                <w:szCs w:val="18"/>
                <w:lang w:val="fr-FR"/>
              </w:rPr>
              <w:t xml:space="preserve"> </w:t>
            </w:r>
            <w:r>
              <w:rPr>
                <w:rFonts w:cs="v4.2.0"/>
                <w:b/>
                <w:bCs/>
                <w:lang w:val="fr-FR"/>
              </w:rPr>
              <w:t>Max(T</w:t>
            </w:r>
            <w:r>
              <w:rPr>
                <w:rFonts w:cs="v4.2.0"/>
                <w:b/>
                <w:bCs/>
                <w:vertAlign w:val="subscript"/>
                <w:lang w:val="fr-FR"/>
              </w:rPr>
              <w:t>DRX</w:t>
            </w:r>
            <w:r>
              <w:rPr>
                <w:rFonts w:cs="v4.2.0"/>
                <w:b/>
                <w:bCs/>
                <w:lang w:val="fr-FR"/>
              </w:rPr>
              <w:t>,T</w:t>
            </w:r>
            <w:r>
              <w:rPr>
                <w:rFonts w:cs="v4.2.0"/>
                <w:b/>
                <w:bCs/>
                <w:vertAlign w:val="subscript"/>
                <w:lang w:val="fr-FR"/>
              </w:rPr>
              <w:t>SSB</w:t>
            </w:r>
            <w:r>
              <w:rPr>
                <w:rFonts w:cs="v4.2.0"/>
                <w:b/>
                <w:bCs/>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2" w:type="dxa"/>
            <w:tcBorders>
              <w:top w:val="single" w:color="auto" w:sz="4" w:space="0"/>
              <w:left w:val="single" w:color="auto" w:sz="4" w:space="0"/>
              <w:bottom w:val="single" w:color="auto" w:sz="4" w:space="0"/>
              <w:right w:val="single" w:color="auto" w:sz="4" w:space="0"/>
            </w:tcBorders>
          </w:tcPr>
          <w:p>
            <w:pPr>
              <w:pStyle w:val="54"/>
              <w:rPr>
                <w:b/>
                <w:bCs/>
                <w:lang w:val="en-US"/>
              </w:rPr>
            </w:pPr>
            <w:r>
              <w:rPr>
                <w:b/>
                <w:bCs/>
                <w:lang w:val="en-US"/>
              </w:rPr>
              <w:t>DRX cycle &gt; 320ms</w:t>
            </w:r>
          </w:p>
        </w:tc>
        <w:tc>
          <w:tcPr>
            <w:tcW w:w="3813" w:type="dxa"/>
            <w:tcBorders>
              <w:top w:val="single" w:color="auto" w:sz="4" w:space="0"/>
              <w:left w:val="single" w:color="auto" w:sz="4" w:space="0"/>
              <w:bottom w:val="single" w:color="auto" w:sz="4" w:space="0"/>
              <w:right w:val="single" w:color="auto" w:sz="4" w:space="0"/>
            </w:tcBorders>
          </w:tcPr>
          <w:p>
            <w:pPr>
              <w:pStyle w:val="54"/>
              <w:rPr>
                <w:b/>
                <w:bCs/>
                <w:lang w:val="en-US"/>
              </w:rPr>
            </w:pPr>
            <w:r>
              <w:rPr>
                <w:rFonts w:cs="v4.2.0"/>
                <w:b/>
                <w:bCs/>
                <w:lang w:val="en-US"/>
              </w:rPr>
              <w:t xml:space="preserve">Ceil(7 </w:t>
            </w:r>
            <w:r>
              <w:rPr>
                <w:rFonts w:cs="Arial"/>
                <w:b/>
                <w:bCs/>
                <w:szCs w:val="18"/>
                <w:lang w:val="en-US"/>
              </w:rPr>
              <w:sym w:font="Symbol" w:char="F0B4"/>
            </w:r>
            <w:r>
              <w:rPr>
                <w:rFonts w:cs="Arial"/>
                <w:b/>
                <w:bCs/>
                <w:szCs w:val="18"/>
                <w:lang w:val="en-US"/>
              </w:rPr>
              <w:t xml:space="preserve"> </w:t>
            </w:r>
            <w:r>
              <w:rPr>
                <w:rFonts w:cs="v4.2.0"/>
                <w:b/>
                <w:bCs/>
                <w:lang w:val="en-US"/>
              </w:rPr>
              <w:t xml:space="preserve">P) </w:t>
            </w:r>
            <w:r>
              <w:rPr>
                <w:rFonts w:cs="Arial"/>
                <w:b/>
                <w:bCs/>
                <w:szCs w:val="18"/>
                <w:lang w:val="en-US"/>
              </w:rPr>
              <w:sym w:font="Symbol" w:char="F0B4"/>
            </w:r>
            <w:r>
              <w:rPr>
                <w:rFonts w:cs="Arial"/>
                <w:b/>
                <w:bCs/>
                <w:szCs w:val="18"/>
                <w:lang w:val="en-US"/>
              </w:rPr>
              <w:t xml:space="preserve"> </w:t>
            </w:r>
            <w:r>
              <w:rPr>
                <w:rFonts w:cs="v4.2.0"/>
                <w:b/>
                <w:bCs/>
                <w:lang w:val="en-US"/>
              </w:rPr>
              <w:t>T</w:t>
            </w:r>
            <w:r>
              <w:rPr>
                <w:rFonts w:cs="v4.2.0"/>
                <w:b/>
                <w:bCs/>
                <w:vertAlign w:val="subscript"/>
                <w:lang w:val="en-US"/>
              </w:rPr>
              <w:t>DRX</w:t>
            </w:r>
          </w:p>
        </w:tc>
        <w:tc>
          <w:tcPr>
            <w:tcW w:w="3964" w:type="dxa"/>
            <w:tcBorders>
              <w:top w:val="single" w:color="auto" w:sz="4" w:space="0"/>
              <w:left w:val="single" w:color="auto" w:sz="4" w:space="0"/>
              <w:bottom w:val="single" w:color="auto" w:sz="4" w:space="0"/>
              <w:right w:val="single" w:color="auto" w:sz="4" w:space="0"/>
            </w:tcBorders>
          </w:tcPr>
          <w:p>
            <w:pPr>
              <w:pStyle w:val="54"/>
              <w:rPr>
                <w:rFonts w:cs="v4.2.0"/>
                <w:b/>
                <w:bCs/>
                <w:lang w:val="en-US"/>
              </w:rPr>
            </w:pPr>
            <w:r>
              <w:rPr>
                <w:rFonts w:cs="v4.2.0"/>
                <w:b/>
                <w:bCs/>
                <w:lang w:val="en-US"/>
              </w:rPr>
              <w:t xml:space="preserve">Ceil(8 </w:t>
            </w:r>
            <w:r>
              <w:rPr>
                <w:rFonts w:cs="Arial"/>
                <w:b/>
                <w:bCs/>
                <w:szCs w:val="18"/>
                <w:lang w:val="en-US"/>
              </w:rPr>
              <w:sym w:font="Symbol" w:char="F0B4"/>
            </w:r>
            <w:r>
              <w:rPr>
                <w:rFonts w:cs="Arial"/>
                <w:b/>
                <w:bCs/>
                <w:szCs w:val="18"/>
                <w:lang w:val="en-US"/>
              </w:rPr>
              <w:t xml:space="preserve"> </w:t>
            </w:r>
            <w:r>
              <w:rPr>
                <w:rFonts w:cs="v4.2.0"/>
                <w:b/>
                <w:bCs/>
                <w:lang w:val="en-US"/>
              </w:rPr>
              <w:t xml:space="preserve">P) </w:t>
            </w:r>
            <w:r>
              <w:rPr>
                <w:rFonts w:cs="Arial"/>
                <w:b/>
                <w:bCs/>
                <w:szCs w:val="18"/>
                <w:lang w:val="en-US"/>
              </w:rPr>
              <w:sym w:font="Symbol" w:char="F0B4"/>
            </w:r>
            <w:r>
              <w:rPr>
                <w:rFonts w:cs="Arial"/>
                <w:b/>
                <w:bCs/>
                <w:szCs w:val="18"/>
                <w:lang w:val="en-US"/>
              </w:rPr>
              <w:t xml:space="preserve"> </w:t>
            </w:r>
            <w:r>
              <w:rPr>
                <w:rFonts w:cs="v4.2.0"/>
                <w:b/>
                <w:bCs/>
                <w:lang w:val="en-US"/>
              </w:rPr>
              <w:t>T</w:t>
            </w:r>
            <w:r>
              <w:rPr>
                <w:rFonts w:cs="v4.2.0"/>
                <w:b/>
                <w:bCs/>
                <w:vertAlign w:val="subscript"/>
                <w:lang w:val="en-US"/>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left w:val="single" w:color="auto" w:sz="4" w:space="0"/>
              <w:bottom w:val="single" w:color="auto" w:sz="4" w:space="0"/>
              <w:right w:val="single" w:color="auto" w:sz="4" w:space="0"/>
            </w:tcBorders>
          </w:tcPr>
          <w:p>
            <w:pPr>
              <w:pStyle w:val="68"/>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ctrlPr>
                    <w:rPr>
                      <w:rFonts w:ascii="Cambria Math" w:hAnsi="Cambria Math" w:cs="v5.0.0"/>
                      <w:i/>
                      <w:lang w:val="en-US"/>
                    </w:rPr>
                  </m:ctrlPr>
                </m:e>
                <m:sub>
                  <m:r>
                    <w:rPr>
                      <w:rFonts w:ascii="Cambria Math" w:hAnsi="Cambria Math" w:cs="v5.0.0"/>
                      <w:lang w:val="en-US"/>
                    </w:rPr>
                    <m:t>0</m:t>
                  </m:r>
                  <m:ctrlPr>
                    <w:rPr>
                      <w:rFonts w:ascii="Cambria Math" w:hAnsi="Cambria Math" w:cs="v5.0.0"/>
                      <w:i/>
                      <w:lang w:val="en-US"/>
                    </w:rPr>
                  </m:ctrlP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pPr>
              <w:pStyle w:val="68"/>
              <w:rPr>
                <w:lang w:val="en-US"/>
              </w:rPr>
            </w:pPr>
            <w:r>
              <w:rPr>
                <w:lang w:val="en-US"/>
              </w:rPr>
              <w:t>Note 2:</w:t>
            </w:r>
            <w:r>
              <w:rPr>
                <w:lang w:val="en-US"/>
              </w:rPr>
              <w:tab/>
            </w:r>
            <w:r>
              <w:rPr>
                <w:lang w:val="en-US"/>
              </w:rPr>
              <w:t>BFD-RS SSB Es/Iot is the averaged BFD-RS SSB Es/Iot over the most recent previous evaluation period.</w:t>
            </w:r>
          </w:p>
        </w:tc>
      </w:tr>
    </w:tbl>
    <w:p>
      <w:pPr>
        <w:rPr>
          <w:rFonts w:hint="default" w:eastAsia="宋体"/>
          <w:lang w:val="en-US" w:eastAsia="zh-CN"/>
        </w:rPr>
      </w:pPr>
    </w:p>
    <w:p>
      <w:pPr>
        <w:pStyle w:val="84"/>
        <w:numPr>
          <w:ilvl w:val="0"/>
          <w:numId w:val="0"/>
        </w:numPr>
        <w:rPr>
          <w:rFonts w:hint="default" w:eastAsia="宋体"/>
          <w:lang w:val="en-US" w:eastAsia="zh-CN"/>
        </w:rPr>
      </w:pPr>
      <w:r>
        <w:rPr>
          <w:rFonts w:hint="eastAsia" w:eastAsia="宋体"/>
          <w:b/>
          <w:bCs/>
          <w:lang w:val="en-US" w:eastAsia="zh-CN"/>
        </w:rPr>
        <w:t>Observation 2: UE would not perform BFD in MG duration.</w:t>
      </w:r>
    </w:p>
    <w:p>
      <w:pPr>
        <w:rPr>
          <w:rFonts w:hint="default" w:eastAsia="宋体"/>
          <w:color w:val="auto"/>
          <w:lang w:val="en-US" w:eastAsia="zh-CN"/>
        </w:rPr>
      </w:pPr>
      <w:r>
        <w:rPr>
          <w:rFonts w:hint="eastAsia" w:eastAsia="宋体"/>
          <w:lang w:val="en-US" w:eastAsia="zh-CN"/>
        </w:rPr>
        <w:t xml:space="preserve">As for the availability of SSB occasions for L1-RSRP, P factor should also be considered according to the L1-RSRP measurement period in Table 9.5A.4.1-1. </w:t>
      </w:r>
      <w:r>
        <w:rPr>
          <w:rFonts w:hint="eastAsia" w:eastAsia="宋体"/>
          <w:color w:val="0000FF"/>
          <w:lang w:val="en-US" w:eastAsia="zh-CN"/>
        </w:rPr>
        <w:t>The UE shall be capable of performing L1-RSRP measurements based on the configured SSB resource for L1-RSRP computation, and the UE physical layer shall be capable of reporting L1-RSRP measured over the measurement period of T</w:t>
      </w:r>
      <w:r>
        <w:rPr>
          <w:rFonts w:hint="eastAsia" w:eastAsia="宋体"/>
          <w:color w:val="0000FF"/>
          <w:vertAlign w:val="subscript"/>
          <w:lang w:val="en-US" w:eastAsia="zh-CN"/>
        </w:rPr>
        <w:t>L1-RSRP_Measurement_Period_SSB_CCA</w:t>
      </w:r>
      <w:r>
        <w:rPr>
          <w:rFonts w:hint="eastAsia" w:eastAsia="宋体"/>
          <w:color w:val="0000FF"/>
          <w:lang w:val="en-US" w:eastAsia="zh-CN"/>
        </w:rPr>
        <w:t xml:space="preserve"> [3]. </w:t>
      </w:r>
      <w:r>
        <w:rPr>
          <w:rFonts w:hint="eastAsia" w:eastAsia="宋体"/>
          <w:color w:val="auto"/>
          <w:lang w:val="en-US" w:eastAsia="zh-CN"/>
        </w:rPr>
        <w:t xml:space="preserve">Therefore, </w:t>
      </w:r>
      <w:r>
        <w:rPr>
          <w:rFonts w:hint="eastAsia" w:eastAsia="宋体"/>
          <w:lang w:val="en-US" w:eastAsia="zh-CN"/>
        </w:rPr>
        <w:t>we propose that when the DRX is configured and T</w:t>
      </w:r>
      <w:r>
        <w:rPr>
          <w:rFonts w:hint="eastAsia" w:eastAsia="宋体"/>
          <w:vertAlign w:val="subscript"/>
          <w:lang w:val="en-US" w:eastAsia="zh-CN"/>
        </w:rPr>
        <w:t xml:space="preserve">DRX </w:t>
      </w:r>
      <w:r>
        <w:rPr>
          <w:rFonts w:hint="default"/>
          <w:lang w:val="en-US" w:eastAsia="zh-CN"/>
        </w:rPr>
        <w:t>≤ 320ms</w:t>
      </w:r>
      <w:r>
        <w:rPr>
          <w:rFonts w:hint="eastAsia"/>
          <w:lang w:val="en-US" w:eastAsia="zh-CN"/>
        </w:rPr>
        <w:t>,</w:t>
      </w:r>
      <w:r>
        <w:rPr>
          <w:rFonts w:hint="eastAsia" w:eastAsia="宋体"/>
          <w:lang w:val="en-US" w:eastAsia="zh-CN"/>
        </w:rPr>
        <w:t xml:space="preserve"> the UE should be not required to determine the availability of SSB occasions for L1-RSRP more frequent than once per Max(T</w:t>
      </w:r>
      <w:r>
        <w:rPr>
          <w:rFonts w:hint="eastAsia" w:eastAsia="宋体"/>
          <w:vertAlign w:val="subscript"/>
          <w:lang w:val="en-US" w:eastAsia="zh-CN"/>
        </w:rPr>
        <w:t>Report</w:t>
      </w:r>
      <w:r>
        <w:rPr>
          <w:rFonts w:hint="eastAsia" w:eastAsia="宋体"/>
          <w:lang w:val="en-US" w:eastAsia="zh-CN"/>
        </w:rPr>
        <w:t>, P*Max(T</w:t>
      </w:r>
      <w:r>
        <w:rPr>
          <w:rFonts w:hint="eastAsia" w:eastAsia="宋体"/>
          <w:vertAlign w:val="subscript"/>
          <w:lang w:val="en-US" w:eastAsia="zh-CN"/>
        </w:rPr>
        <w:t>DRX</w:t>
      </w:r>
      <w:r>
        <w:rPr>
          <w:rFonts w:hint="eastAsia" w:eastAsia="宋体"/>
          <w:lang w:val="en-US" w:eastAsia="zh-CN"/>
        </w:rPr>
        <w:t>, T</w:t>
      </w:r>
      <w:r>
        <w:rPr>
          <w:rFonts w:hint="eastAsia" w:eastAsia="宋体"/>
          <w:vertAlign w:val="subscript"/>
          <w:lang w:val="en-US" w:eastAsia="zh-CN"/>
        </w:rPr>
        <w:t>SSB</w:t>
      </w:r>
      <w:r>
        <w:rPr>
          <w:rFonts w:hint="eastAsia" w:eastAsia="宋体"/>
          <w:lang w:val="en-US" w:eastAsia="zh-CN"/>
        </w:rPr>
        <w:t>)). If T</w:t>
      </w:r>
      <w:r>
        <w:rPr>
          <w:rFonts w:hint="eastAsia" w:eastAsia="宋体"/>
          <w:vertAlign w:val="subscript"/>
          <w:lang w:val="en-US" w:eastAsia="zh-CN"/>
        </w:rPr>
        <w:t xml:space="preserve">DRX </w:t>
      </w:r>
      <w:r>
        <w:rPr>
          <w:rFonts w:hint="eastAsia"/>
          <w:lang w:val="en-US" w:eastAsia="zh-CN"/>
        </w:rPr>
        <w:t xml:space="preserve">&gt; </w:t>
      </w:r>
      <w:r>
        <w:rPr>
          <w:rFonts w:hint="default"/>
          <w:lang w:val="en-US" w:eastAsia="zh-CN"/>
        </w:rPr>
        <w:t>320ms</w:t>
      </w:r>
      <w:r>
        <w:rPr>
          <w:rFonts w:hint="eastAsia"/>
          <w:lang w:val="en-US" w:eastAsia="zh-CN"/>
        </w:rPr>
        <w:t>,</w:t>
      </w:r>
      <w:r>
        <w:rPr>
          <w:rFonts w:hint="eastAsia" w:eastAsia="宋体"/>
          <w:lang w:val="en-US" w:eastAsia="zh-CN"/>
        </w:rPr>
        <w:t xml:space="preserve"> the UE should be not required to determine the availability of SSB occasions for BFD more frequent than once per P*T</w:t>
      </w:r>
      <w:r>
        <w:rPr>
          <w:rFonts w:hint="eastAsia" w:eastAsia="宋体"/>
          <w:vertAlign w:val="subscript"/>
          <w:lang w:val="en-US" w:eastAsia="zh-CN"/>
        </w:rPr>
        <w:t>DRX</w:t>
      </w:r>
      <w:r>
        <w:rPr>
          <w:rFonts w:hint="eastAsia" w:eastAsia="宋体"/>
          <w:lang w:val="en-US" w:eastAsia="zh-CN"/>
        </w:rPr>
        <w:t>.</w:t>
      </w:r>
    </w:p>
    <w:p>
      <w:pPr>
        <w:pStyle w:val="57"/>
      </w:pPr>
      <w:r>
        <w:t>Table 9.5A.4.1-1: Measurement period T</w:t>
      </w:r>
      <w:r>
        <w:rPr>
          <w:vertAlign w:val="subscript"/>
        </w:rPr>
        <w:t>L1-RSRP_Measurement_Period_SSB_CCA</w:t>
      </w:r>
      <w:r>
        <w:t xml:space="preserve"> for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5190"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L1-RSRP_Measurement_Period_SSB_CCA</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5190"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ceil((M+L1)*P)*T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cs="Arial"/>
              </w:rPr>
              <w:t xml:space="preserve">≤ </w:t>
            </w:r>
            <w:r>
              <w:t>320ms</w:t>
            </w:r>
          </w:p>
        </w:tc>
        <w:tc>
          <w:tcPr>
            <w:tcW w:w="5190" w:type="dxa"/>
            <w:tcBorders>
              <w:top w:val="single" w:color="auto" w:sz="4" w:space="0"/>
              <w:left w:val="single" w:color="auto" w:sz="4" w:space="0"/>
              <w:bottom w:val="single" w:color="auto" w:sz="4" w:space="0"/>
              <w:right w:val="single" w:color="auto" w:sz="4" w:space="0"/>
            </w:tcBorders>
          </w:tcPr>
          <w:p>
            <w:pPr>
              <w:pStyle w:val="54"/>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5190"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ceil((M+L1)*P)*T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type="textWrapping"/>
            </w:r>
            <w:r>
              <w:rPr>
                <w:rFonts w:cs="v4.2.0"/>
              </w:rPr>
              <w:t>T</w:t>
            </w:r>
            <w:r>
              <w:rPr>
                <w:rFonts w:cs="v4.2.0"/>
                <w:vertAlign w:val="subscript"/>
              </w:rPr>
              <w:t>Report</w:t>
            </w:r>
            <w:r>
              <w:t xml:space="preserve"> is configured periodicity for reporting.</w:t>
            </w:r>
          </w:p>
          <w:p>
            <w:pPr>
              <w:pStyle w:val="68"/>
              <w:rPr>
                <w:rFonts w:cstheme="minorHAnsi"/>
                <w:bCs/>
              </w:rPr>
            </w:pPr>
            <w:r>
              <w:t>Note 2:</w:t>
            </w:r>
            <w:r>
              <w:tab/>
            </w:r>
            <w:r>
              <w:rPr>
                <w:bCs/>
              </w:rPr>
              <w:t xml:space="preserve">L1=0 if higher layer parameter timeRestrictionForChannelMeasurement is configured. Otherwise </w:t>
            </w:r>
            <w:r>
              <w:rPr>
                <w:rFonts w:cs="v4.2.0"/>
                <w:bCs/>
              </w:rPr>
              <w:t>L1 is the number of SSBs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p>
          <w:p>
            <w:pPr>
              <w:pStyle w:val="68"/>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ype="textWrapping"/>
            </w:r>
            <w: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ype="textWrapping"/>
            </w:r>
            <w:r>
              <w:t>L1</w:t>
            </w:r>
            <w:r>
              <w:rPr>
                <w:vertAlign w:val="subscript"/>
              </w:rPr>
              <w:t>max</w:t>
            </w:r>
            <w:r>
              <w:t xml:space="preserve"> =3 for T</w:t>
            </w:r>
            <w:r>
              <w:rPr>
                <w:vertAlign w:val="subscript"/>
              </w:rPr>
              <w:t>DRX</w:t>
            </w:r>
            <w:r>
              <w:t xml:space="preserve"> &gt; 320ms.</w:t>
            </w:r>
          </w:p>
        </w:tc>
      </w:tr>
    </w:tbl>
    <w:p>
      <w:pPr>
        <w:pStyle w:val="84"/>
        <w:numPr>
          <w:ilvl w:val="0"/>
          <w:numId w:val="0"/>
        </w:numPr>
        <w:rPr>
          <w:rFonts w:hint="eastAsia" w:eastAsia="宋体"/>
          <w:b/>
          <w:bCs/>
          <w:lang w:val="en-US" w:eastAsia="zh-CN"/>
        </w:rPr>
      </w:pPr>
    </w:p>
    <w:p>
      <w:pPr>
        <w:pStyle w:val="84"/>
        <w:numPr>
          <w:ilvl w:val="0"/>
          <w:numId w:val="0"/>
        </w:numPr>
      </w:pPr>
      <w:r>
        <w:rPr>
          <w:rFonts w:hint="eastAsia" w:eastAsia="宋体"/>
          <w:b/>
          <w:bCs/>
          <w:lang w:val="en-US" w:eastAsia="zh-CN"/>
        </w:rPr>
        <w:t>Observation 3: UE shall be capable of performing L1-RSRP measurements based on the configured SSB resource for L1-RSRP computation, and the UE physical layer shall be capable of reporting L1-RSRP measured over the measurement period.</w:t>
      </w:r>
    </w:p>
    <w:bookmarkEnd w:id="3"/>
    <w:p>
      <w:pPr>
        <w:rPr>
          <w:rFonts w:hint="eastAsia"/>
          <w:b/>
          <w:bCs/>
        </w:rPr>
      </w:pPr>
      <w:r>
        <w:rPr>
          <w:b/>
          <w:bCs/>
        </w:rPr>
        <w:t xml:space="preserve">Proposal: </w:t>
      </w:r>
      <w:r>
        <w:rPr>
          <w:rFonts w:hint="eastAsia"/>
          <w:b/>
          <w:bCs/>
        </w:rPr>
        <w:t>For RLM/BFD/L1-RSRP, the P factor should also be considered.</w:t>
      </w:r>
    </w:p>
    <w:p>
      <w:pPr>
        <w:rPr>
          <w:b/>
          <w:bCs/>
        </w:rPr>
      </w:pPr>
      <w:r>
        <w:rPr>
          <w:b/>
          <w:bCs/>
        </w:rPr>
        <w:t xml:space="preserve">For </w:t>
      </w:r>
      <w:r>
        <w:rPr>
          <w:rFonts w:hint="eastAsia" w:eastAsia="宋体"/>
          <w:b/>
          <w:bCs/>
          <w:lang w:val="en-US" w:eastAsia="zh-CN"/>
        </w:rPr>
        <w:t>RLM</w:t>
      </w:r>
      <w:r>
        <w:rPr>
          <w:b/>
          <w:bCs/>
        </w:rPr>
        <w:t>, the UE</w:t>
      </w:r>
      <w:r>
        <w:rPr>
          <w:rFonts w:hint="eastAsia" w:eastAsia="宋体"/>
          <w:b/>
          <w:bCs/>
          <w:lang w:val="en-US" w:eastAsia="zh-CN"/>
        </w:rPr>
        <w:t>, which is configured in DRX, is not required to determine the availability of SSB occasions more frequent than:</w:t>
      </w:r>
    </w:p>
    <w:p>
      <w:pPr>
        <w:pStyle w:val="84"/>
        <w:numPr>
          <w:ilvl w:val="0"/>
          <w:numId w:val="4"/>
        </w:numPr>
        <w:rPr>
          <w:b/>
          <w:bCs/>
        </w:rPr>
      </w:pPr>
      <w:r>
        <w:rPr>
          <w:b/>
          <w:bCs/>
        </w:rPr>
        <w:t xml:space="preserve">Once per </w:t>
      </w:r>
      <w:r>
        <w:rPr>
          <w:rFonts w:hint="eastAsia"/>
          <w:b/>
          <w:bCs/>
        </w:rPr>
        <w:t>Max(100ms, P*Max(T</w:t>
      </w:r>
      <w:r>
        <w:rPr>
          <w:rFonts w:hint="eastAsia"/>
          <w:b/>
          <w:bCs/>
          <w:vertAlign w:val="subscript"/>
        </w:rPr>
        <w:t>DRX</w:t>
      </w:r>
      <w:r>
        <w:rPr>
          <w:rFonts w:hint="eastAsia"/>
          <w:b/>
          <w:bCs/>
        </w:rPr>
        <w:t>, T</w:t>
      </w:r>
      <w:r>
        <w:rPr>
          <w:rFonts w:hint="eastAsia"/>
          <w:b/>
          <w:bCs/>
          <w:vertAlign w:val="subscript"/>
        </w:rPr>
        <w:t>SSB</w:t>
      </w:r>
      <w:r>
        <w:rPr>
          <w:rFonts w:hint="eastAsia"/>
          <w:b/>
          <w:bCs/>
        </w:rPr>
        <w:t>))</w:t>
      </w:r>
      <w:r>
        <w:rPr>
          <w:b/>
          <w:bCs/>
        </w:rPr>
        <w:t>,</w:t>
      </w:r>
      <w:r>
        <w:rPr>
          <w:rFonts w:hint="eastAsia" w:eastAsia="宋体"/>
          <w:b/>
          <w:bCs/>
          <w:lang w:val="en-US" w:eastAsia="zh-CN"/>
        </w:rPr>
        <w:t xml:space="preserve"> </w:t>
      </w:r>
      <w:r>
        <w:rPr>
          <w:b/>
          <w:bCs/>
        </w:rPr>
        <w:t xml:space="preserve">if </w:t>
      </w:r>
      <w:r>
        <w:rPr>
          <w:rFonts w:hint="eastAsia"/>
          <w:b/>
          <w:bCs/>
        </w:rPr>
        <w:t>T</w:t>
      </w:r>
      <w:r>
        <w:rPr>
          <w:rFonts w:hint="eastAsia"/>
          <w:b/>
          <w:bCs/>
          <w:vertAlign w:val="subscript"/>
        </w:rPr>
        <w:t>DRX</w:t>
      </w:r>
      <w:r>
        <w:rPr>
          <w:b/>
          <w:bCs/>
        </w:rPr>
        <w:t xml:space="preserve"> </w:t>
      </w:r>
      <w:r>
        <w:rPr>
          <w:rFonts w:cs="Calibri"/>
          <w:b/>
          <w:bCs/>
        </w:rPr>
        <w:t>≤</w:t>
      </w:r>
      <w:r>
        <w:rPr>
          <w:b/>
          <w:bCs/>
        </w:rPr>
        <w:t xml:space="preserve"> 320ms</w:t>
      </w:r>
    </w:p>
    <w:p>
      <w:pPr>
        <w:pStyle w:val="84"/>
        <w:numPr>
          <w:ilvl w:val="0"/>
          <w:numId w:val="4"/>
        </w:numPr>
        <w:rPr>
          <w:b/>
          <w:bCs/>
        </w:rPr>
      </w:pPr>
      <w:r>
        <w:rPr>
          <w:b/>
          <w:bCs/>
        </w:rPr>
        <w:t xml:space="preserve">Once per </w:t>
      </w:r>
      <w:r>
        <w:rPr>
          <w:rFonts w:hint="eastAsia" w:eastAsia="宋体"/>
          <w:b/>
          <w:bCs/>
          <w:lang w:val="en-US" w:eastAsia="zh-CN"/>
        </w:rPr>
        <w:t>P*</w:t>
      </w:r>
      <w:r>
        <w:rPr>
          <w:rFonts w:hint="eastAsia"/>
          <w:b/>
          <w:bCs/>
        </w:rPr>
        <w:t>T</w:t>
      </w:r>
      <w:r>
        <w:rPr>
          <w:rFonts w:hint="eastAsia"/>
          <w:b/>
          <w:bCs/>
          <w:vertAlign w:val="subscript"/>
        </w:rPr>
        <w:t>DRX</w:t>
      </w:r>
      <w:r>
        <w:rPr>
          <w:b/>
          <w:bCs/>
        </w:rPr>
        <w:t>,</w:t>
      </w:r>
      <w:r>
        <w:rPr>
          <w:b/>
          <w:bCs/>
        </w:rPr>
        <w:tab/>
      </w:r>
      <w:r>
        <w:rPr>
          <w:b/>
          <w:bCs/>
        </w:rPr>
        <w:t xml:space="preserve">if </w:t>
      </w:r>
      <w:r>
        <w:rPr>
          <w:rFonts w:hint="eastAsia"/>
          <w:b/>
          <w:bCs/>
        </w:rPr>
        <w:t>T</w:t>
      </w:r>
      <w:r>
        <w:rPr>
          <w:rFonts w:hint="eastAsia"/>
          <w:b/>
          <w:bCs/>
          <w:vertAlign w:val="subscript"/>
        </w:rPr>
        <w:t>DRX</w:t>
      </w:r>
      <w:r>
        <w:rPr>
          <w:b/>
          <w:bCs/>
        </w:rPr>
        <w:t xml:space="preserve"> &gt; 320ms. </w:t>
      </w:r>
    </w:p>
    <w:p>
      <w:pPr>
        <w:rPr>
          <w:b/>
          <w:bCs/>
        </w:rPr>
      </w:pPr>
      <w:r>
        <w:rPr>
          <w:b/>
          <w:bCs/>
        </w:rPr>
        <w:t xml:space="preserve">For </w:t>
      </w:r>
      <w:r>
        <w:rPr>
          <w:rFonts w:hint="eastAsia" w:eastAsia="宋体"/>
          <w:b/>
          <w:bCs/>
          <w:lang w:val="en-US" w:eastAsia="zh-CN"/>
        </w:rPr>
        <w:t>BFD</w:t>
      </w:r>
      <w:r>
        <w:rPr>
          <w:b/>
          <w:bCs/>
        </w:rPr>
        <w:t>, the UE</w:t>
      </w:r>
      <w:r>
        <w:rPr>
          <w:rFonts w:hint="eastAsia" w:eastAsia="宋体"/>
          <w:b/>
          <w:bCs/>
          <w:lang w:val="en-US" w:eastAsia="zh-CN"/>
        </w:rPr>
        <w:t>, which is configured in DRX, is not required to determine the availability of SSB occasions more frequent than:</w:t>
      </w:r>
    </w:p>
    <w:p>
      <w:pPr>
        <w:pStyle w:val="84"/>
        <w:numPr>
          <w:ilvl w:val="0"/>
          <w:numId w:val="4"/>
        </w:numPr>
        <w:rPr>
          <w:b/>
          <w:bCs/>
        </w:rPr>
      </w:pPr>
      <w:r>
        <w:rPr>
          <w:b/>
          <w:bCs/>
        </w:rPr>
        <w:t xml:space="preserve">Once per </w:t>
      </w:r>
      <w:r>
        <w:rPr>
          <w:rFonts w:hint="eastAsia"/>
          <w:b/>
          <w:bCs/>
        </w:rPr>
        <w:t>Max(</w:t>
      </w:r>
      <w:r>
        <w:rPr>
          <w:rFonts w:hint="eastAsia" w:eastAsia="宋体"/>
          <w:b/>
          <w:bCs/>
          <w:lang w:val="en-US" w:eastAsia="zh-CN"/>
        </w:rPr>
        <w:t>5</w:t>
      </w:r>
      <w:r>
        <w:rPr>
          <w:rFonts w:hint="eastAsia"/>
          <w:b/>
          <w:bCs/>
        </w:rPr>
        <w:t>0ms, P*Max(T</w:t>
      </w:r>
      <w:r>
        <w:rPr>
          <w:rFonts w:hint="eastAsia"/>
          <w:b/>
          <w:bCs/>
          <w:vertAlign w:val="subscript"/>
        </w:rPr>
        <w:t>DRX</w:t>
      </w:r>
      <w:r>
        <w:rPr>
          <w:rFonts w:hint="eastAsia"/>
          <w:b/>
          <w:bCs/>
        </w:rPr>
        <w:t>, T</w:t>
      </w:r>
      <w:r>
        <w:rPr>
          <w:rFonts w:hint="eastAsia"/>
          <w:b/>
          <w:bCs/>
          <w:vertAlign w:val="subscript"/>
        </w:rPr>
        <w:t>SSB</w:t>
      </w:r>
      <w:r>
        <w:rPr>
          <w:rFonts w:hint="eastAsia"/>
          <w:b/>
          <w:bCs/>
        </w:rPr>
        <w:t>))</w:t>
      </w:r>
      <w:r>
        <w:rPr>
          <w:b/>
          <w:bCs/>
        </w:rPr>
        <w:t>,</w:t>
      </w:r>
      <w:r>
        <w:rPr>
          <w:rFonts w:hint="eastAsia" w:eastAsia="宋体"/>
          <w:b/>
          <w:bCs/>
          <w:lang w:val="en-US" w:eastAsia="zh-CN"/>
        </w:rPr>
        <w:t xml:space="preserve"> </w:t>
      </w:r>
      <w:r>
        <w:rPr>
          <w:b/>
          <w:bCs/>
        </w:rPr>
        <w:t xml:space="preserve">if </w:t>
      </w:r>
      <w:r>
        <w:rPr>
          <w:rFonts w:hint="eastAsia"/>
          <w:b/>
          <w:bCs/>
        </w:rPr>
        <w:t>T</w:t>
      </w:r>
      <w:r>
        <w:rPr>
          <w:rFonts w:hint="eastAsia"/>
          <w:b/>
          <w:bCs/>
          <w:vertAlign w:val="subscript"/>
        </w:rPr>
        <w:t>DRX</w:t>
      </w:r>
      <w:r>
        <w:rPr>
          <w:b/>
          <w:bCs/>
        </w:rPr>
        <w:t xml:space="preserve"> </w:t>
      </w:r>
      <w:r>
        <w:rPr>
          <w:rFonts w:cs="Calibri"/>
          <w:b/>
          <w:bCs/>
        </w:rPr>
        <w:t>≤</w:t>
      </w:r>
      <w:r>
        <w:rPr>
          <w:b/>
          <w:bCs/>
        </w:rPr>
        <w:t xml:space="preserve"> 320ms</w:t>
      </w:r>
      <w:r>
        <w:rPr>
          <w:rFonts w:hint="eastAsia" w:eastAsia="宋体"/>
          <w:b/>
          <w:bCs/>
          <w:lang w:val="en-US" w:eastAsia="zh-CN"/>
        </w:rPr>
        <w:t xml:space="preserve"> </w:t>
      </w:r>
    </w:p>
    <w:p>
      <w:pPr>
        <w:pStyle w:val="84"/>
        <w:numPr>
          <w:ilvl w:val="0"/>
          <w:numId w:val="4"/>
        </w:numPr>
        <w:rPr>
          <w:b/>
          <w:bCs/>
        </w:rPr>
      </w:pPr>
      <w:r>
        <w:rPr>
          <w:b/>
          <w:bCs/>
        </w:rPr>
        <w:t xml:space="preserve">Once per </w:t>
      </w:r>
      <w:r>
        <w:rPr>
          <w:rFonts w:hint="eastAsia" w:eastAsia="宋体"/>
          <w:b/>
          <w:bCs/>
          <w:lang w:val="en-US" w:eastAsia="zh-CN"/>
        </w:rPr>
        <w:t>P*</w:t>
      </w:r>
      <w:r>
        <w:rPr>
          <w:rFonts w:hint="eastAsia"/>
          <w:b/>
          <w:bCs/>
        </w:rPr>
        <w:t>T</w:t>
      </w:r>
      <w:r>
        <w:rPr>
          <w:rFonts w:hint="eastAsia"/>
          <w:b/>
          <w:bCs/>
          <w:vertAlign w:val="subscript"/>
        </w:rPr>
        <w:t>DRX</w:t>
      </w:r>
      <w:r>
        <w:rPr>
          <w:b/>
          <w:bCs/>
        </w:rPr>
        <w:t>,</w:t>
      </w:r>
      <w:r>
        <w:rPr>
          <w:b/>
          <w:bCs/>
        </w:rPr>
        <w:tab/>
      </w:r>
      <w:r>
        <w:rPr>
          <w:b/>
          <w:bCs/>
        </w:rPr>
        <w:t xml:space="preserve">if </w:t>
      </w:r>
      <w:r>
        <w:rPr>
          <w:rFonts w:hint="eastAsia"/>
          <w:b/>
          <w:bCs/>
        </w:rPr>
        <w:t>T</w:t>
      </w:r>
      <w:r>
        <w:rPr>
          <w:rFonts w:hint="eastAsia"/>
          <w:b/>
          <w:bCs/>
          <w:vertAlign w:val="subscript"/>
        </w:rPr>
        <w:t>DRX</w:t>
      </w:r>
      <w:r>
        <w:rPr>
          <w:b/>
          <w:bCs/>
        </w:rPr>
        <w:t xml:space="preserve"> &gt; 320ms. </w:t>
      </w:r>
    </w:p>
    <w:p>
      <w:pPr>
        <w:rPr>
          <w:b/>
          <w:bCs/>
        </w:rPr>
      </w:pPr>
      <w:r>
        <w:rPr>
          <w:b/>
          <w:bCs/>
        </w:rPr>
        <w:t xml:space="preserve">For </w:t>
      </w:r>
      <w:r>
        <w:rPr>
          <w:rFonts w:hint="eastAsia" w:eastAsia="宋体"/>
          <w:b/>
          <w:bCs/>
          <w:lang w:val="en-US" w:eastAsia="zh-CN"/>
        </w:rPr>
        <w:t>L1-RSRP</w:t>
      </w:r>
      <w:r>
        <w:rPr>
          <w:b/>
          <w:bCs/>
        </w:rPr>
        <w:t>, the UE</w:t>
      </w:r>
      <w:r>
        <w:rPr>
          <w:rFonts w:hint="eastAsia" w:eastAsia="宋体"/>
          <w:b/>
          <w:bCs/>
          <w:lang w:val="en-US" w:eastAsia="zh-CN"/>
        </w:rPr>
        <w:t>, which is configured in DRX, is not required to determine the availability of SSB occasions more frequent than:</w:t>
      </w:r>
    </w:p>
    <w:p>
      <w:pPr>
        <w:pStyle w:val="84"/>
        <w:numPr>
          <w:ilvl w:val="0"/>
          <w:numId w:val="4"/>
        </w:numPr>
        <w:rPr>
          <w:b/>
          <w:bCs/>
        </w:rPr>
      </w:pPr>
      <w:r>
        <w:rPr>
          <w:b/>
          <w:bCs/>
        </w:rPr>
        <w:t xml:space="preserve">Once per </w:t>
      </w:r>
      <w:r>
        <w:rPr>
          <w:rFonts w:hint="eastAsia"/>
          <w:b/>
          <w:bCs/>
        </w:rPr>
        <w:t>Max(T</w:t>
      </w:r>
      <w:r>
        <w:rPr>
          <w:rFonts w:hint="eastAsia"/>
          <w:b/>
          <w:bCs/>
          <w:vertAlign w:val="subscript"/>
        </w:rPr>
        <w:t>Report</w:t>
      </w:r>
      <w:r>
        <w:rPr>
          <w:rFonts w:hint="eastAsia"/>
          <w:b/>
          <w:bCs/>
        </w:rPr>
        <w:t>, P*Max(T</w:t>
      </w:r>
      <w:r>
        <w:rPr>
          <w:rFonts w:hint="eastAsia"/>
          <w:b/>
          <w:bCs/>
          <w:vertAlign w:val="subscript"/>
        </w:rPr>
        <w:t>DRX</w:t>
      </w:r>
      <w:r>
        <w:rPr>
          <w:rFonts w:hint="eastAsia"/>
          <w:b/>
          <w:bCs/>
        </w:rPr>
        <w:t>, T</w:t>
      </w:r>
      <w:r>
        <w:rPr>
          <w:rFonts w:hint="eastAsia"/>
          <w:b/>
          <w:bCs/>
          <w:vertAlign w:val="subscript"/>
        </w:rPr>
        <w:t>SSB</w:t>
      </w:r>
      <w:r>
        <w:rPr>
          <w:rFonts w:hint="eastAsia"/>
          <w:b/>
          <w:bCs/>
        </w:rPr>
        <w:t>))</w:t>
      </w:r>
      <w:r>
        <w:rPr>
          <w:b/>
          <w:bCs/>
        </w:rPr>
        <w:t>,</w:t>
      </w:r>
      <w:r>
        <w:rPr>
          <w:rFonts w:hint="eastAsia" w:eastAsia="宋体"/>
          <w:b/>
          <w:bCs/>
          <w:lang w:val="en-US" w:eastAsia="zh-CN"/>
        </w:rPr>
        <w:t xml:space="preserve"> </w:t>
      </w:r>
      <w:r>
        <w:rPr>
          <w:b/>
          <w:bCs/>
        </w:rPr>
        <w:t xml:space="preserve">if </w:t>
      </w:r>
      <w:r>
        <w:rPr>
          <w:rFonts w:hint="eastAsia"/>
          <w:b/>
          <w:bCs/>
        </w:rPr>
        <w:t>T</w:t>
      </w:r>
      <w:r>
        <w:rPr>
          <w:rFonts w:hint="eastAsia"/>
          <w:b/>
          <w:bCs/>
          <w:vertAlign w:val="subscript"/>
        </w:rPr>
        <w:t>DRX</w:t>
      </w:r>
      <w:r>
        <w:rPr>
          <w:b/>
          <w:bCs/>
        </w:rPr>
        <w:t xml:space="preserve"> </w:t>
      </w:r>
      <w:r>
        <w:rPr>
          <w:rFonts w:cs="Calibri"/>
          <w:b/>
          <w:bCs/>
        </w:rPr>
        <w:t>≤</w:t>
      </w:r>
      <w:r>
        <w:rPr>
          <w:b/>
          <w:bCs/>
        </w:rPr>
        <w:t xml:space="preserve"> 320ms</w:t>
      </w:r>
    </w:p>
    <w:p>
      <w:pPr>
        <w:pStyle w:val="84"/>
        <w:numPr>
          <w:ilvl w:val="0"/>
          <w:numId w:val="4"/>
        </w:numPr>
        <w:rPr>
          <w:b/>
          <w:bCs/>
        </w:rPr>
      </w:pPr>
      <w:r>
        <w:rPr>
          <w:b/>
          <w:bCs/>
        </w:rPr>
        <w:t xml:space="preserve">Once per </w:t>
      </w:r>
      <w:r>
        <w:rPr>
          <w:rFonts w:hint="eastAsia" w:eastAsia="宋体"/>
          <w:b/>
          <w:bCs/>
          <w:lang w:val="en-US" w:eastAsia="zh-CN"/>
        </w:rPr>
        <w:t>P*</w:t>
      </w:r>
      <w:r>
        <w:rPr>
          <w:rFonts w:hint="eastAsia"/>
          <w:b/>
          <w:bCs/>
        </w:rPr>
        <w:t>T</w:t>
      </w:r>
      <w:r>
        <w:rPr>
          <w:rFonts w:hint="eastAsia"/>
          <w:b/>
          <w:bCs/>
          <w:vertAlign w:val="subscript"/>
        </w:rPr>
        <w:t>DRX</w:t>
      </w:r>
      <w:r>
        <w:rPr>
          <w:b/>
          <w:bCs/>
        </w:rPr>
        <w:t>,</w:t>
      </w:r>
      <w:r>
        <w:rPr>
          <w:b/>
          <w:bCs/>
        </w:rPr>
        <w:tab/>
      </w:r>
      <w:r>
        <w:rPr>
          <w:b/>
          <w:bCs/>
        </w:rPr>
        <w:t xml:space="preserve">if </w:t>
      </w:r>
      <w:r>
        <w:rPr>
          <w:rFonts w:hint="eastAsia"/>
          <w:b/>
          <w:bCs/>
        </w:rPr>
        <w:t>T</w:t>
      </w:r>
      <w:r>
        <w:rPr>
          <w:rFonts w:hint="eastAsia"/>
          <w:b/>
          <w:bCs/>
          <w:vertAlign w:val="subscript"/>
        </w:rPr>
        <w:t>DRX</w:t>
      </w:r>
      <w:r>
        <w:rPr>
          <w:b/>
          <w:bCs/>
        </w:rPr>
        <w:t xml:space="preserve"> &gt; 320ms. </w:t>
      </w:r>
    </w:p>
    <w:p>
      <w:pPr>
        <w:pStyle w:val="2"/>
        <w:rPr>
          <w:rFonts w:ascii="Arial" w:hAnsi="Arial" w:cs="Times New Roman"/>
          <w:lang w:val="en-US"/>
        </w:rPr>
      </w:pPr>
      <w:r>
        <w:rPr>
          <w:rFonts w:hint="eastAsia" w:eastAsia="宋体" w:cs="Times New Roman"/>
          <w:lang w:val="en-US" w:eastAsia="zh-CN"/>
        </w:rPr>
        <w:t>4</w:t>
      </w:r>
      <w:r>
        <w:rPr>
          <w:rFonts w:ascii="Arial" w:hAnsi="Arial" w:cs="Times New Roman"/>
          <w:lang w:val="en-US"/>
        </w:rPr>
        <w:tab/>
      </w:r>
      <w:r>
        <w:rPr>
          <w:rFonts w:ascii="Arial" w:hAnsi="Arial" w:cs="Times New Roman"/>
          <w:lang w:val="en-US"/>
        </w:rPr>
        <w:t>Summary</w:t>
      </w:r>
    </w:p>
    <w:p>
      <w:pPr>
        <w:pStyle w:val="84"/>
        <w:numPr>
          <w:ilvl w:val="0"/>
          <w:numId w:val="0"/>
        </w:numPr>
        <w:rPr>
          <w:rFonts w:hint="eastAsia" w:eastAsia="宋体"/>
          <w:b/>
          <w:bCs/>
          <w:lang w:val="en-US" w:eastAsia="zh-CN"/>
        </w:rPr>
      </w:pPr>
      <w:r>
        <w:rPr>
          <w:rFonts w:hint="eastAsia" w:eastAsia="宋体"/>
          <w:b/>
          <w:bCs/>
          <w:lang w:val="en-US" w:eastAsia="zh-CN"/>
        </w:rPr>
        <w:t>Observation 1: The availability of SSB occasions for RLM was agreed previously with L1 indication interval, which is derived as the RLM evaluation period related to P factor.</w:t>
      </w:r>
    </w:p>
    <w:p>
      <w:pPr>
        <w:pStyle w:val="84"/>
        <w:numPr>
          <w:ilvl w:val="0"/>
          <w:numId w:val="0"/>
        </w:numPr>
        <w:rPr>
          <w:rFonts w:hint="eastAsia" w:eastAsia="宋体"/>
          <w:b/>
          <w:bCs/>
          <w:lang w:val="en-US" w:eastAsia="zh-CN"/>
        </w:rPr>
      </w:pPr>
      <w:r>
        <w:rPr>
          <w:rFonts w:hint="eastAsia" w:eastAsia="宋体"/>
          <w:b/>
          <w:bCs/>
          <w:lang w:val="en-US" w:eastAsia="zh-CN"/>
        </w:rPr>
        <w:t>Observation 2: UE would not perform BFD in MG duration.</w:t>
      </w:r>
    </w:p>
    <w:p>
      <w:pPr>
        <w:pStyle w:val="84"/>
        <w:numPr>
          <w:ilvl w:val="0"/>
          <w:numId w:val="0"/>
        </w:numPr>
        <w:rPr>
          <w:rFonts w:hint="default" w:eastAsia="宋体"/>
          <w:b/>
          <w:bCs/>
          <w:lang w:val="en-US" w:eastAsia="zh-CN"/>
        </w:rPr>
      </w:pPr>
      <w:r>
        <w:rPr>
          <w:rFonts w:hint="eastAsia" w:eastAsia="宋体"/>
          <w:b/>
          <w:bCs/>
          <w:lang w:val="en-US" w:eastAsia="zh-CN"/>
        </w:rPr>
        <w:t>Observation 3: UE shall be capable of performing L1-RSRP measurements based on the configured SSB resource for L1-RSRP computation, and the UE physical layer shall be capable of reporting L1-RSRP measured over the measurement period.</w:t>
      </w:r>
    </w:p>
    <w:p>
      <w:pPr>
        <w:pStyle w:val="84"/>
        <w:numPr>
          <w:ilvl w:val="0"/>
          <w:numId w:val="0"/>
        </w:numPr>
        <w:rPr>
          <w:b/>
          <w:bCs/>
        </w:rPr>
      </w:pPr>
      <w:r>
        <w:rPr>
          <w:b/>
          <w:bCs/>
        </w:rPr>
        <w:t xml:space="preserve">Proposal: </w:t>
      </w:r>
      <w:r>
        <w:rPr>
          <w:rFonts w:hint="eastAsia"/>
          <w:b/>
          <w:bCs/>
        </w:rPr>
        <w:t>For RLM/BFD/L1-RSRP, the P factor should also be considered.</w:t>
      </w:r>
    </w:p>
    <w:p>
      <w:pPr>
        <w:pStyle w:val="2"/>
        <w:rPr>
          <w:rFonts w:ascii="Arial" w:hAnsi="Arial" w:cs="Times New Roman"/>
          <w:lang w:val="en-US"/>
        </w:rPr>
      </w:pPr>
      <w:r>
        <w:rPr>
          <w:rFonts w:hint="eastAsia" w:eastAsia="宋体" w:cs="Times New Roman"/>
          <w:lang w:val="en-US" w:eastAsia="zh-CN"/>
        </w:rPr>
        <w:t>5</w:t>
      </w:r>
      <w:r>
        <w:rPr>
          <w:rFonts w:ascii="Arial" w:hAnsi="Arial" w:cs="Times New Roman"/>
          <w:lang w:val="en-US"/>
        </w:rPr>
        <w:tab/>
      </w:r>
      <w:r>
        <w:rPr>
          <w:rFonts w:ascii="Arial" w:hAnsi="Arial" w:cs="Times New Roman"/>
          <w:lang w:val="en-US"/>
        </w:rPr>
        <w:t>References</w:t>
      </w:r>
    </w:p>
    <w:p>
      <w:pPr>
        <w:pStyle w:val="84"/>
        <w:numPr>
          <w:ilvl w:val="0"/>
          <w:numId w:val="5"/>
        </w:numPr>
        <w:overflowPunct w:val="0"/>
        <w:autoSpaceDE w:val="0"/>
        <w:autoSpaceDN w:val="0"/>
        <w:adjustRightInd w:val="0"/>
        <w:spacing w:after="180" w:line="240" w:lineRule="auto"/>
        <w:ind w:left="450" w:hanging="450"/>
        <w:contextualSpacing/>
      </w:pPr>
      <w:bookmarkStart w:id="5" w:name="_Ref67054409"/>
      <w:bookmarkStart w:id="6" w:name="_Ref70959263"/>
      <w:r>
        <w:t>R4-210</w:t>
      </w:r>
      <w:bookmarkEnd w:id="5"/>
      <w:r>
        <w:rPr>
          <w:rFonts w:hint="eastAsia" w:eastAsia="宋体"/>
          <w:lang w:val="en-US" w:eastAsia="zh-CN"/>
        </w:rPr>
        <w:t>8253</w:t>
      </w:r>
      <w:r>
        <w:t>, “</w:t>
      </w:r>
      <w:r>
        <w:rPr>
          <w:rFonts w:hint="eastAsia"/>
        </w:rPr>
        <w:t>WF on NR-U RRM Core Requirements</w:t>
      </w:r>
      <w:r>
        <w:t>”, Ericsson.</w:t>
      </w:r>
      <w:bookmarkEnd w:id="6"/>
      <w:r>
        <w:t xml:space="preserve">  </w:t>
      </w:r>
    </w:p>
    <w:p>
      <w:pPr>
        <w:pStyle w:val="84"/>
        <w:numPr>
          <w:ilvl w:val="0"/>
          <w:numId w:val="5"/>
        </w:numPr>
        <w:overflowPunct w:val="0"/>
        <w:autoSpaceDE w:val="0"/>
        <w:autoSpaceDN w:val="0"/>
        <w:adjustRightInd w:val="0"/>
        <w:spacing w:after="180" w:line="240" w:lineRule="auto"/>
        <w:ind w:left="450" w:hanging="450"/>
        <w:contextualSpacing/>
      </w:pPr>
      <w:r>
        <w:rPr>
          <w:rFonts w:hint="eastAsia"/>
        </w:rPr>
        <w:t>R4-2110780</w:t>
      </w:r>
      <w:r>
        <w:rPr>
          <w:rFonts w:hint="eastAsia" w:eastAsia="宋体"/>
          <w:lang w:val="en-US" w:eastAsia="zh-CN"/>
        </w:rPr>
        <w:t xml:space="preserve">, </w:t>
      </w:r>
      <w:r>
        <w:rPr>
          <w:rFonts w:hint="default" w:eastAsia="宋体"/>
          <w:lang w:val="en-US" w:eastAsia="zh-CN"/>
        </w:rPr>
        <w:t>“SSB monitoring capability for CBD”</w:t>
      </w:r>
      <w:r>
        <w:rPr>
          <w:rFonts w:hint="eastAsia" w:eastAsia="宋体"/>
          <w:lang w:val="en-US" w:eastAsia="zh-CN"/>
        </w:rPr>
        <w:t xml:space="preserve">, </w:t>
      </w:r>
      <w:r>
        <w:t>Ericsson.</w:t>
      </w:r>
    </w:p>
    <w:p>
      <w:pPr>
        <w:pStyle w:val="84"/>
        <w:numPr>
          <w:ilvl w:val="0"/>
          <w:numId w:val="5"/>
        </w:numPr>
        <w:overflowPunct w:val="0"/>
        <w:autoSpaceDE w:val="0"/>
        <w:autoSpaceDN w:val="0"/>
        <w:adjustRightInd w:val="0"/>
        <w:spacing w:after="180" w:line="240" w:lineRule="auto"/>
        <w:ind w:left="450" w:hanging="450"/>
        <w:contextualSpacing/>
      </w:pPr>
      <w:r>
        <w:rPr>
          <w:rFonts w:hint="eastAsia"/>
        </w:rPr>
        <w:t xml:space="preserve">TS 38.133, </w:t>
      </w:r>
      <w:r>
        <w:rPr>
          <w:rFonts w:hint="eastAsia" w:eastAsia="宋体"/>
          <w:lang w:val="en-US" w:eastAsia="zh-CN"/>
        </w:rPr>
        <w:t>V</w:t>
      </w:r>
      <w:r>
        <w:rPr>
          <w:rFonts w:hint="eastAsia"/>
        </w:rPr>
        <w:t>17.</w:t>
      </w:r>
      <w:r>
        <w:rPr>
          <w:rFonts w:hint="eastAsia" w:eastAsia="宋体"/>
          <w:lang w:val="en-US" w:eastAsia="zh-CN"/>
        </w:rPr>
        <w:t>2.</w:t>
      </w:r>
      <w:r>
        <w:rPr>
          <w:rFonts w:hint="eastAsia"/>
        </w:rPr>
        <w:t>0</w:t>
      </w:r>
      <w:r>
        <w:rPr>
          <w:rFonts w:hint="eastAsia" w:eastAsia="宋体"/>
          <w:lang w:val="en-US" w:eastAsia="zh-CN"/>
        </w:rPr>
        <w:t>.</w:t>
      </w:r>
    </w:p>
    <w:sectPr>
      <w:footerReference r:id="rId4" w:type="default"/>
      <w:headerReference r:id="rId3"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 ??">
    <w:altName w:val="MS Mincho"/>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3</w:t>
    </w:r>
    <w:r>
      <w:fldChar w:fldCharType="end"/>
    </w:r>
  </w:p>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71FA1"/>
    <w:multiLevelType w:val="singleLevel"/>
    <w:tmpl w:val="21471FA1"/>
    <w:lvl w:ilvl="0" w:tentative="0">
      <w:start w:val="1"/>
      <w:numFmt w:val="bullet"/>
      <w:lvlText w:val=""/>
      <w:lvlJc w:val="left"/>
      <w:pPr>
        <w:tabs>
          <w:tab w:val="left" w:pos="840"/>
        </w:tabs>
        <w:ind w:left="1260" w:hanging="420"/>
      </w:pPr>
      <w:rPr>
        <w:rFonts w:hint="default" w:ascii="Wingdings" w:hAnsi="Wingdings"/>
      </w:rPr>
    </w:lvl>
  </w:abstractNum>
  <w:abstractNum w:abstractNumId="1">
    <w:nsid w:val="393A21FD"/>
    <w:multiLevelType w:val="multilevel"/>
    <w:tmpl w:val="393A21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0E0C23"/>
    <w:multiLevelType w:val="multilevel"/>
    <w:tmpl w:val="5A0E0C23"/>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3B2412F"/>
    <w:multiLevelType w:val="multilevel"/>
    <w:tmpl w:val="73B241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E2407A1"/>
    <w:multiLevelType w:val="singleLevel"/>
    <w:tmpl w:val="7E2407A1"/>
    <w:lvl w:ilvl="0" w:tentative="0">
      <w:start w:val="1"/>
      <w:numFmt w:val="decimal"/>
      <w:pStyle w:val="85"/>
      <w:lvlText w:val="[%1]"/>
      <w:lvlJc w:val="left"/>
      <w:pPr>
        <w:tabs>
          <w:tab w:val="left" w:pos="360"/>
        </w:tabs>
        <w:ind w:left="360" w:hanging="36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linkStyles/>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C86"/>
    <w:rsid w:val="00011CB1"/>
    <w:rsid w:val="00012342"/>
    <w:rsid w:val="00012982"/>
    <w:rsid w:val="00012D27"/>
    <w:rsid w:val="00013B62"/>
    <w:rsid w:val="00013D9A"/>
    <w:rsid w:val="00014117"/>
    <w:rsid w:val="00014165"/>
    <w:rsid w:val="0001425E"/>
    <w:rsid w:val="00014BAE"/>
    <w:rsid w:val="000150C8"/>
    <w:rsid w:val="0001590B"/>
    <w:rsid w:val="0001601E"/>
    <w:rsid w:val="00016605"/>
    <w:rsid w:val="00016D52"/>
    <w:rsid w:val="00017714"/>
    <w:rsid w:val="0001787A"/>
    <w:rsid w:val="00017A14"/>
    <w:rsid w:val="00017C4E"/>
    <w:rsid w:val="00017D5A"/>
    <w:rsid w:val="00020B37"/>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7B6"/>
    <w:rsid w:val="00025DD5"/>
    <w:rsid w:val="000262D9"/>
    <w:rsid w:val="000266DE"/>
    <w:rsid w:val="00026800"/>
    <w:rsid w:val="00026CBB"/>
    <w:rsid w:val="00027718"/>
    <w:rsid w:val="0002774A"/>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74C6"/>
    <w:rsid w:val="00037A4A"/>
    <w:rsid w:val="00040B4F"/>
    <w:rsid w:val="00040C18"/>
    <w:rsid w:val="00041292"/>
    <w:rsid w:val="00041B14"/>
    <w:rsid w:val="0004248E"/>
    <w:rsid w:val="000436AB"/>
    <w:rsid w:val="000437C1"/>
    <w:rsid w:val="00043FF0"/>
    <w:rsid w:val="00044315"/>
    <w:rsid w:val="00044D8D"/>
    <w:rsid w:val="00044ED8"/>
    <w:rsid w:val="00045494"/>
    <w:rsid w:val="000456A6"/>
    <w:rsid w:val="0004582E"/>
    <w:rsid w:val="000463C2"/>
    <w:rsid w:val="000479C3"/>
    <w:rsid w:val="0005017E"/>
    <w:rsid w:val="0005034B"/>
    <w:rsid w:val="00050919"/>
    <w:rsid w:val="000511A2"/>
    <w:rsid w:val="000524B3"/>
    <w:rsid w:val="00052E7F"/>
    <w:rsid w:val="00053A4B"/>
    <w:rsid w:val="000541FE"/>
    <w:rsid w:val="0005420D"/>
    <w:rsid w:val="00054FF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985"/>
    <w:rsid w:val="00071E4C"/>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79C"/>
    <w:rsid w:val="000918A3"/>
    <w:rsid w:val="00091C4A"/>
    <w:rsid w:val="000924E7"/>
    <w:rsid w:val="00092695"/>
    <w:rsid w:val="00092B03"/>
    <w:rsid w:val="0009399D"/>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13B5"/>
    <w:rsid w:val="000A1627"/>
    <w:rsid w:val="000A2152"/>
    <w:rsid w:val="000A2A4C"/>
    <w:rsid w:val="000A2A67"/>
    <w:rsid w:val="000A2C2A"/>
    <w:rsid w:val="000A3A6D"/>
    <w:rsid w:val="000A42CE"/>
    <w:rsid w:val="000A4BEB"/>
    <w:rsid w:val="000A5060"/>
    <w:rsid w:val="000A5631"/>
    <w:rsid w:val="000A5806"/>
    <w:rsid w:val="000A5BF1"/>
    <w:rsid w:val="000A68B1"/>
    <w:rsid w:val="000A693F"/>
    <w:rsid w:val="000A6F20"/>
    <w:rsid w:val="000A70C7"/>
    <w:rsid w:val="000A78BB"/>
    <w:rsid w:val="000A79E8"/>
    <w:rsid w:val="000A7BFF"/>
    <w:rsid w:val="000B04B5"/>
    <w:rsid w:val="000B0F93"/>
    <w:rsid w:val="000B27A6"/>
    <w:rsid w:val="000B2A11"/>
    <w:rsid w:val="000B2F2F"/>
    <w:rsid w:val="000B34AA"/>
    <w:rsid w:val="000B38BD"/>
    <w:rsid w:val="000B38C5"/>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692D"/>
    <w:rsid w:val="000E7499"/>
    <w:rsid w:val="000E7B71"/>
    <w:rsid w:val="000E7C9E"/>
    <w:rsid w:val="000E7ED7"/>
    <w:rsid w:val="000E7F91"/>
    <w:rsid w:val="000F08EC"/>
    <w:rsid w:val="000F0DD5"/>
    <w:rsid w:val="000F1B1D"/>
    <w:rsid w:val="000F1DA8"/>
    <w:rsid w:val="000F311A"/>
    <w:rsid w:val="000F3291"/>
    <w:rsid w:val="000F3D29"/>
    <w:rsid w:val="000F41F4"/>
    <w:rsid w:val="000F42E5"/>
    <w:rsid w:val="000F522D"/>
    <w:rsid w:val="000F53D2"/>
    <w:rsid w:val="000F551A"/>
    <w:rsid w:val="000F566C"/>
    <w:rsid w:val="000F5A73"/>
    <w:rsid w:val="000F614F"/>
    <w:rsid w:val="000F6226"/>
    <w:rsid w:val="000F6A4F"/>
    <w:rsid w:val="000F72AA"/>
    <w:rsid w:val="000F774D"/>
    <w:rsid w:val="000F7C61"/>
    <w:rsid w:val="000F7F3F"/>
    <w:rsid w:val="0010079A"/>
    <w:rsid w:val="00100904"/>
    <w:rsid w:val="00100BDE"/>
    <w:rsid w:val="00100D60"/>
    <w:rsid w:val="00100EF3"/>
    <w:rsid w:val="00101CFB"/>
    <w:rsid w:val="0010266D"/>
    <w:rsid w:val="00102A1C"/>
    <w:rsid w:val="001030F5"/>
    <w:rsid w:val="0010390B"/>
    <w:rsid w:val="00103969"/>
    <w:rsid w:val="00103C55"/>
    <w:rsid w:val="00103CB8"/>
    <w:rsid w:val="00105015"/>
    <w:rsid w:val="001050DA"/>
    <w:rsid w:val="001052C8"/>
    <w:rsid w:val="00106338"/>
    <w:rsid w:val="00106F0C"/>
    <w:rsid w:val="0010703D"/>
    <w:rsid w:val="00110126"/>
    <w:rsid w:val="00110BE2"/>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FAA"/>
    <w:rsid w:val="00123540"/>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4DB"/>
    <w:rsid w:val="00130BB4"/>
    <w:rsid w:val="00131500"/>
    <w:rsid w:val="00131CAD"/>
    <w:rsid w:val="0013265C"/>
    <w:rsid w:val="001327A1"/>
    <w:rsid w:val="00132C26"/>
    <w:rsid w:val="00133323"/>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2713"/>
    <w:rsid w:val="00143060"/>
    <w:rsid w:val="0014330B"/>
    <w:rsid w:val="001434BE"/>
    <w:rsid w:val="0014369D"/>
    <w:rsid w:val="00143A83"/>
    <w:rsid w:val="00143F5F"/>
    <w:rsid w:val="00144042"/>
    <w:rsid w:val="00144674"/>
    <w:rsid w:val="001448F9"/>
    <w:rsid w:val="00145179"/>
    <w:rsid w:val="00145726"/>
    <w:rsid w:val="00145C2B"/>
    <w:rsid w:val="00146A54"/>
    <w:rsid w:val="001475D7"/>
    <w:rsid w:val="00147B38"/>
    <w:rsid w:val="00147CB6"/>
    <w:rsid w:val="00147D79"/>
    <w:rsid w:val="00150175"/>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162"/>
    <w:rsid w:val="001603A2"/>
    <w:rsid w:val="001605C1"/>
    <w:rsid w:val="00160FB5"/>
    <w:rsid w:val="0016119A"/>
    <w:rsid w:val="001613CE"/>
    <w:rsid w:val="0016142B"/>
    <w:rsid w:val="00161499"/>
    <w:rsid w:val="0016175B"/>
    <w:rsid w:val="001618D2"/>
    <w:rsid w:val="00162321"/>
    <w:rsid w:val="0016259D"/>
    <w:rsid w:val="0016286D"/>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5E8D"/>
    <w:rsid w:val="00176377"/>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49E"/>
    <w:rsid w:val="001A1D18"/>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488"/>
    <w:rsid w:val="001B072D"/>
    <w:rsid w:val="001B0D31"/>
    <w:rsid w:val="001B1051"/>
    <w:rsid w:val="001B13E6"/>
    <w:rsid w:val="001B172B"/>
    <w:rsid w:val="001B185D"/>
    <w:rsid w:val="001B1A86"/>
    <w:rsid w:val="001B1B38"/>
    <w:rsid w:val="001B2FA9"/>
    <w:rsid w:val="001B3115"/>
    <w:rsid w:val="001B3893"/>
    <w:rsid w:val="001B45D3"/>
    <w:rsid w:val="001B461D"/>
    <w:rsid w:val="001B4909"/>
    <w:rsid w:val="001B5849"/>
    <w:rsid w:val="001B606B"/>
    <w:rsid w:val="001B68D8"/>
    <w:rsid w:val="001B6AFB"/>
    <w:rsid w:val="001B6F88"/>
    <w:rsid w:val="001B7725"/>
    <w:rsid w:val="001B77A1"/>
    <w:rsid w:val="001C012A"/>
    <w:rsid w:val="001C0823"/>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5C9B"/>
    <w:rsid w:val="001D60D3"/>
    <w:rsid w:val="001D64D3"/>
    <w:rsid w:val="001D67EE"/>
    <w:rsid w:val="001D6830"/>
    <w:rsid w:val="001D6ADF"/>
    <w:rsid w:val="001D6C48"/>
    <w:rsid w:val="001D6D25"/>
    <w:rsid w:val="001D70BE"/>
    <w:rsid w:val="001D7964"/>
    <w:rsid w:val="001D7E0A"/>
    <w:rsid w:val="001E0581"/>
    <w:rsid w:val="001E05E0"/>
    <w:rsid w:val="001E0A07"/>
    <w:rsid w:val="001E0B83"/>
    <w:rsid w:val="001E0BFB"/>
    <w:rsid w:val="001E17EE"/>
    <w:rsid w:val="001E2854"/>
    <w:rsid w:val="001E2A10"/>
    <w:rsid w:val="001E2DC8"/>
    <w:rsid w:val="001E3099"/>
    <w:rsid w:val="001E37DC"/>
    <w:rsid w:val="001E3879"/>
    <w:rsid w:val="001E3A17"/>
    <w:rsid w:val="001E4638"/>
    <w:rsid w:val="001E4804"/>
    <w:rsid w:val="001E4FDA"/>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6E"/>
    <w:rsid w:val="001F1EFE"/>
    <w:rsid w:val="001F1FB5"/>
    <w:rsid w:val="001F22D7"/>
    <w:rsid w:val="001F2481"/>
    <w:rsid w:val="001F2531"/>
    <w:rsid w:val="001F28BF"/>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08D"/>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93"/>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DFE"/>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341F"/>
    <w:rsid w:val="00233443"/>
    <w:rsid w:val="00234404"/>
    <w:rsid w:val="00234C72"/>
    <w:rsid w:val="00235558"/>
    <w:rsid w:val="00235596"/>
    <w:rsid w:val="00236178"/>
    <w:rsid w:val="0023673E"/>
    <w:rsid w:val="00236F55"/>
    <w:rsid w:val="00237C55"/>
    <w:rsid w:val="00237ECB"/>
    <w:rsid w:val="0024003A"/>
    <w:rsid w:val="00240325"/>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64FA"/>
    <w:rsid w:val="0025720C"/>
    <w:rsid w:val="0025769E"/>
    <w:rsid w:val="00257E49"/>
    <w:rsid w:val="0026062E"/>
    <w:rsid w:val="002607CA"/>
    <w:rsid w:val="00261690"/>
    <w:rsid w:val="00261991"/>
    <w:rsid w:val="00261BAC"/>
    <w:rsid w:val="00261C85"/>
    <w:rsid w:val="002621FF"/>
    <w:rsid w:val="0026260A"/>
    <w:rsid w:val="002626CF"/>
    <w:rsid w:val="00262BE5"/>
    <w:rsid w:val="002634BA"/>
    <w:rsid w:val="002635C5"/>
    <w:rsid w:val="00263659"/>
    <w:rsid w:val="002639DB"/>
    <w:rsid w:val="00263E71"/>
    <w:rsid w:val="002644D6"/>
    <w:rsid w:val="0026468D"/>
    <w:rsid w:val="002661F3"/>
    <w:rsid w:val="0026623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4F5C"/>
    <w:rsid w:val="00275BF0"/>
    <w:rsid w:val="00275BF3"/>
    <w:rsid w:val="0027657D"/>
    <w:rsid w:val="002765C8"/>
    <w:rsid w:val="002774CC"/>
    <w:rsid w:val="00277947"/>
    <w:rsid w:val="00277A17"/>
    <w:rsid w:val="00277DE1"/>
    <w:rsid w:val="00280154"/>
    <w:rsid w:val="0028029C"/>
    <w:rsid w:val="0028055F"/>
    <w:rsid w:val="0028099B"/>
    <w:rsid w:val="00280E3D"/>
    <w:rsid w:val="00280ED6"/>
    <w:rsid w:val="00281521"/>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570"/>
    <w:rsid w:val="00293778"/>
    <w:rsid w:val="0029383A"/>
    <w:rsid w:val="00293C2E"/>
    <w:rsid w:val="00293F6D"/>
    <w:rsid w:val="00294194"/>
    <w:rsid w:val="002942C3"/>
    <w:rsid w:val="00294BA7"/>
    <w:rsid w:val="00294CDF"/>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DD"/>
    <w:rsid w:val="002C0F91"/>
    <w:rsid w:val="002C1958"/>
    <w:rsid w:val="002C1AAB"/>
    <w:rsid w:val="002C20ED"/>
    <w:rsid w:val="002C21B4"/>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4F51"/>
    <w:rsid w:val="002D518C"/>
    <w:rsid w:val="002D5427"/>
    <w:rsid w:val="002D5642"/>
    <w:rsid w:val="002D58BE"/>
    <w:rsid w:val="002D617F"/>
    <w:rsid w:val="002D6F69"/>
    <w:rsid w:val="002E02EB"/>
    <w:rsid w:val="002E0978"/>
    <w:rsid w:val="002E1127"/>
    <w:rsid w:val="002E11F2"/>
    <w:rsid w:val="002E188B"/>
    <w:rsid w:val="002E1DCA"/>
    <w:rsid w:val="002E29D9"/>
    <w:rsid w:val="002E2A4A"/>
    <w:rsid w:val="002E2BA8"/>
    <w:rsid w:val="002E2E53"/>
    <w:rsid w:val="002E2F17"/>
    <w:rsid w:val="002E3217"/>
    <w:rsid w:val="002E3612"/>
    <w:rsid w:val="002E37E7"/>
    <w:rsid w:val="002E39A4"/>
    <w:rsid w:val="002E3FC2"/>
    <w:rsid w:val="002E4267"/>
    <w:rsid w:val="002E4A46"/>
    <w:rsid w:val="002E4C2C"/>
    <w:rsid w:val="002E4C63"/>
    <w:rsid w:val="002E4DE1"/>
    <w:rsid w:val="002E4EDE"/>
    <w:rsid w:val="002E518D"/>
    <w:rsid w:val="002E51B0"/>
    <w:rsid w:val="002E557E"/>
    <w:rsid w:val="002E56DE"/>
    <w:rsid w:val="002E6958"/>
    <w:rsid w:val="002E6C98"/>
    <w:rsid w:val="002E7065"/>
    <w:rsid w:val="002E7687"/>
    <w:rsid w:val="002F0564"/>
    <w:rsid w:val="002F072E"/>
    <w:rsid w:val="002F08A5"/>
    <w:rsid w:val="002F08F0"/>
    <w:rsid w:val="002F19C5"/>
    <w:rsid w:val="002F1E21"/>
    <w:rsid w:val="002F28F9"/>
    <w:rsid w:val="002F2910"/>
    <w:rsid w:val="002F2C24"/>
    <w:rsid w:val="002F2FB3"/>
    <w:rsid w:val="002F3283"/>
    <w:rsid w:val="002F365D"/>
    <w:rsid w:val="002F3743"/>
    <w:rsid w:val="002F3BF1"/>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A76"/>
    <w:rsid w:val="00300CBF"/>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EF7"/>
    <w:rsid w:val="00310185"/>
    <w:rsid w:val="00310508"/>
    <w:rsid w:val="00310FB7"/>
    <w:rsid w:val="00311320"/>
    <w:rsid w:val="00311838"/>
    <w:rsid w:val="00311EAA"/>
    <w:rsid w:val="00312509"/>
    <w:rsid w:val="003137E6"/>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27786"/>
    <w:rsid w:val="00327CB3"/>
    <w:rsid w:val="00330F4E"/>
    <w:rsid w:val="003316FA"/>
    <w:rsid w:val="0033171E"/>
    <w:rsid w:val="00332021"/>
    <w:rsid w:val="00332F16"/>
    <w:rsid w:val="00333189"/>
    <w:rsid w:val="00334395"/>
    <w:rsid w:val="00334E75"/>
    <w:rsid w:val="00334E7F"/>
    <w:rsid w:val="00335689"/>
    <w:rsid w:val="00335F65"/>
    <w:rsid w:val="00335FB5"/>
    <w:rsid w:val="003367EA"/>
    <w:rsid w:val="00336EB7"/>
    <w:rsid w:val="00337099"/>
    <w:rsid w:val="0034005C"/>
    <w:rsid w:val="00340456"/>
    <w:rsid w:val="003416BB"/>
    <w:rsid w:val="00341703"/>
    <w:rsid w:val="00341779"/>
    <w:rsid w:val="00341CD9"/>
    <w:rsid w:val="003426E8"/>
    <w:rsid w:val="00342902"/>
    <w:rsid w:val="003434FE"/>
    <w:rsid w:val="0034358B"/>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68C"/>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601A4"/>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561"/>
    <w:rsid w:val="003706F6"/>
    <w:rsid w:val="0037073A"/>
    <w:rsid w:val="0037130E"/>
    <w:rsid w:val="0037191E"/>
    <w:rsid w:val="00371B9F"/>
    <w:rsid w:val="00372819"/>
    <w:rsid w:val="0037364D"/>
    <w:rsid w:val="003738AD"/>
    <w:rsid w:val="003741DE"/>
    <w:rsid w:val="00374603"/>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52A1"/>
    <w:rsid w:val="0038614B"/>
    <w:rsid w:val="00386335"/>
    <w:rsid w:val="0038680C"/>
    <w:rsid w:val="00386B81"/>
    <w:rsid w:val="00386ED8"/>
    <w:rsid w:val="00386F2E"/>
    <w:rsid w:val="00390312"/>
    <w:rsid w:val="003903EC"/>
    <w:rsid w:val="00390CB5"/>
    <w:rsid w:val="00390DA7"/>
    <w:rsid w:val="00390ED1"/>
    <w:rsid w:val="003914F0"/>
    <w:rsid w:val="00391DBF"/>
    <w:rsid w:val="00392D2C"/>
    <w:rsid w:val="00392D98"/>
    <w:rsid w:val="00393E66"/>
    <w:rsid w:val="00394075"/>
    <w:rsid w:val="00394A92"/>
    <w:rsid w:val="00395074"/>
    <w:rsid w:val="00395688"/>
    <w:rsid w:val="00395B72"/>
    <w:rsid w:val="00395D4F"/>
    <w:rsid w:val="00395F3E"/>
    <w:rsid w:val="0039659E"/>
    <w:rsid w:val="00396884"/>
    <w:rsid w:val="00396C50"/>
    <w:rsid w:val="00397384"/>
    <w:rsid w:val="00397480"/>
    <w:rsid w:val="003A0839"/>
    <w:rsid w:val="003A0B8A"/>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1C5D"/>
    <w:rsid w:val="003B24B7"/>
    <w:rsid w:val="003B26AE"/>
    <w:rsid w:val="003B3525"/>
    <w:rsid w:val="003B392D"/>
    <w:rsid w:val="003B3C32"/>
    <w:rsid w:val="003B43D6"/>
    <w:rsid w:val="003B44FE"/>
    <w:rsid w:val="003B4B61"/>
    <w:rsid w:val="003B4DE0"/>
    <w:rsid w:val="003B518B"/>
    <w:rsid w:val="003B53D8"/>
    <w:rsid w:val="003B60AC"/>
    <w:rsid w:val="003B6626"/>
    <w:rsid w:val="003B6859"/>
    <w:rsid w:val="003B697F"/>
    <w:rsid w:val="003B6EDF"/>
    <w:rsid w:val="003B7C6E"/>
    <w:rsid w:val="003C049A"/>
    <w:rsid w:val="003C09D9"/>
    <w:rsid w:val="003C19E9"/>
    <w:rsid w:val="003C1A26"/>
    <w:rsid w:val="003C2458"/>
    <w:rsid w:val="003C25AE"/>
    <w:rsid w:val="003C275C"/>
    <w:rsid w:val="003C2764"/>
    <w:rsid w:val="003C2D0A"/>
    <w:rsid w:val="003C3006"/>
    <w:rsid w:val="003C3355"/>
    <w:rsid w:val="003C340A"/>
    <w:rsid w:val="003C3D36"/>
    <w:rsid w:val="003C3DAD"/>
    <w:rsid w:val="003C3EA6"/>
    <w:rsid w:val="003C3EB3"/>
    <w:rsid w:val="003C40F1"/>
    <w:rsid w:val="003C48CF"/>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A2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3D97"/>
    <w:rsid w:val="003E4324"/>
    <w:rsid w:val="003E4A53"/>
    <w:rsid w:val="003E4C42"/>
    <w:rsid w:val="003E4CBD"/>
    <w:rsid w:val="003E5923"/>
    <w:rsid w:val="003E5CF1"/>
    <w:rsid w:val="003E6DEF"/>
    <w:rsid w:val="003E762E"/>
    <w:rsid w:val="003E7C5D"/>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103"/>
    <w:rsid w:val="00403353"/>
    <w:rsid w:val="00403FD5"/>
    <w:rsid w:val="004041F4"/>
    <w:rsid w:val="00404715"/>
    <w:rsid w:val="004049E2"/>
    <w:rsid w:val="00404C16"/>
    <w:rsid w:val="00404E8B"/>
    <w:rsid w:val="0040556B"/>
    <w:rsid w:val="00405A46"/>
    <w:rsid w:val="00405EA2"/>
    <w:rsid w:val="00405EFC"/>
    <w:rsid w:val="00406135"/>
    <w:rsid w:val="00406772"/>
    <w:rsid w:val="00406822"/>
    <w:rsid w:val="004074AC"/>
    <w:rsid w:val="00407C47"/>
    <w:rsid w:val="00410082"/>
    <w:rsid w:val="0041037C"/>
    <w:rsid w:val="00410B32"/>
    <w:rsid w:val="0041138B"/>
    <w:rsid w:val="00412653"/>
    <w:rsid w:val="00413258"/>
    <w:rsid w:val="00413552"/>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2FAB"/>
    <w:rsid w:val="00423176"/>
    <w:rsid w:val="00423BCF"/>
    <w:rsid w:val="00424048"/>
    <w:rsid w:val="004241AD"/>
    <w:rsid w:val="00424EB5"/>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24F"/>
    <w:rsid w:val="004339D7"/>
    <w:rsid w:val="00433E95"/>
    <w:rsid w:val="00433EAA"/>
    <w:rsid w:val="00433F30"/>
    <w:rsid w:val="0043557D"/>
    <w:rsid w:val="0043684E"/>
    <w:rsid w:val="0043710F"/>
    <w:rsid w:val="00437690"/>
    <w:rsid w:val="004376A3"/>
    <w:rsid w:val="00437BE8"/>
    <w:rsid w:val="004400A7"/>
    <w:rsid w:val="00440710"/>
    <w:rsid w:val="004424E5"/>
    <w:rsid w:val="00442C1B"/>
    <w:rsid w:val="00443917"/>
    <w:rsid w:val="00444742"/>
    <w:rsid w:val="00444EAD"/>
    <w:rsid w:val="00445147"/>
    <w:rsid w:val="004452D3"/>
    <w:rsid w:val="004453FF"/>
    <w:rsid w:val="00445777"/>
    <w:rsid w:val="004460E6"/>
    <w:rsid w:val="00446A97"/>
    <w:rsid w:val="004472F0"/>
    <w:rsid w:val="00447C7D"/>
    <w:rsid w:val="00447E5D"/>
    <w:rsid w:val="00447FBA"/>
    <w:rsid w:val="00450109"/>
    <w:rsid w:val="00450725"/>
    <w:rsid w:val="0045074D"/>
    <w:rsid w:val="00450AFC"/>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E52"/>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3C82"/>
    <w:rsid w:val="004A3D6C"/>
    <w:rsid w:val="004A3D8E"/>
    <w:rsid w:val="004A3EF9"/>
    <w:rsid w:val="004A42A8"/>
    <w:rsid w:val="004A441F"/>
    <w:rsid w:val="004A4909"/>
    <w:rsid w:val="004A5463"/>
    <w:rsid w:val="004A58BA"/>
    <w:rsid w:val="004A6146"/>
    <w:rsid w:val="004A66B0"/>
    <w:rsid w:val="004A721D"/>
    <w:rsid w:val="004A7A53"/>
    <w:rsid w:val="004B058B"/>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8B"/>
    <w:rsid w:val="004F72C7"/>
    <w:rsid w:val="004F7ADB"/>
    <w:rsid w:val="00500000"/>
    <w:rsid w:val="00500736"/>
    <w:rsid w:val="00500A49"/>
    <w:rsid w:val="0050181E"/>
    <w:rsid w:val="00502B79"/>
    <w:rsid w:val="00502DD5"/>
    <w:rsid w:val="00503316"/>
    <w:rsid w:val="00503A04"/>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25C"/>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972"/>
    <w:rsid w:val="00530D12"/>
    <w:rsid w:val="00530F0B"/>
    <w:rsid w:val="005314A3"/>
    <w:rsid w:val="00531949"/>
    <w:rsid w:val="0053196D"/>
    <w:rsid w:val="00531BC6"/>
    <w:rsid w:val="00531BC9"/>
    <w:rsid w:val="00531F50"/>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B10"/>
    <w:rsid w:val="00554E1C"/>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950"/>
    <w:rsid w:val="00573DD3"/>
    <w:rsid w:val="00574171"/>
    <w:rsid w:val="00574487"/>
    <w:rsid w:val="00574A93"/>
    <w:rsid w:val="00574A94"/>
    <w:rsid w:val="0057691C"/>
    <w:rsid w:val="0057693F"/>
    <w:rsid w:val="00577369"/>
    <w:rsid w:val="00577B8A"/>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89B"/>
    <w:rsid w:val="00595398"/>
    <w:rsid w:val="00595731"/>
    <w:rsid w:val="005963D8"/>
    <w:rsid w:val="005965F7"/>
    <w:rsid w:val="00596D4F"/>
    <w:rsid w:val="00597141"/>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154"/>
    <w:rsid w:val="005B3674"/>
    <w:rsid w:val="005B36A7"/>
    <w:rsid w:val="005B397D"/>
    <w:rsid w:val="005B3B17"/>
    <w:rsid w:val="005B3F19"/>
    <w:rsid w:val="005B404B"/>
    <w:rsid w:val="005B4065"/>
    <w:rsid w:val="005B466A"/>
    <w:rsid w:val="005B52CD"/>
    <w:rsid w:val="005B5855"/>
    <w:rsid w:val="005B5DCE"/>
    <w:rsid w:val="005B6519"/>
    <w:rsid w:val="005B6CE0"/>
    <w:rsid w:val="005B7040"/>
    <w:rsid w:val="005B7505"/>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6D2F"/>
    <w:rsid w:val="005C72C8"/>
    <w:rsid w:val="005C7DF7"/>
    <w:rsid w:val="005D097C"/>
    <w:rsid w:val="005D0A8E"/>
    <w:rsid w:val="005D0A95"/>
    <w:rsid w:val="005D0B5D"/>
    <w:rsid w:val="005D1335"/>
    <w:rsid w:val="005D13E7"/>
    <w:rsid w:val="005D170B"/>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044"/>
    <w:rsid w:val="005E3459"/>
    <w:rsid w:val="005E3530"/>
    <w:rsid w:val="005E3B19"/>
    <w:rsid w:val="005E3D93"/>
    <w:rsid w:val="005E3F2A"/>
    <w:rsid w:val="005E404E"/>
    <w:rsid w:val="005E4070"/>
    <w:rsid w:val="005E4329"/>
    <w:rsid w:val="005E4362"/>
    <w:rsid w:val="005E44DA"/>
    <w:rsid w:val="005E44FB"/>
    <w:rsid w:val="005E4AC6"/>
    <w:rsid w:val="005E518E"/>
    <w:rsid w:val="005E51D3"/>
    <w:rsid w:val="005E5859"/>
    <w:rsid w:val="005E5C34"/>
    <w:rsid w:val="005E5DC8"/>
    <w:rsid w:val="005E6091"/>
    <w:rsid w:val="005E68E1"/>
    <w:rsid w:val="005E6B27"/>
    <w:rsid w:val="005E6DF6"/>
    <w:rsid w:val="005E7345"/>
    <w:rsid w:val="005E7B7A"/>
    <w:rsid w:val="005F0308"/>
    <w:rsid w:val="005F052B"/>
    <w:rsid w:val="005F165F"/>
    <w:rsid w:val="005F17AB"/>
    <w:rsid w:val="005F2216"/>
    <w:rsid w:val="005F269B"/>
    <w:rsid w:val="005F295E"/>
    <w:rsid w:val="005F2E77"/>
    <w:rsid w:val="005F358C"/>
    <w:rsid w:val="005F3B42"/>
    <w:rsid w:val="005F3E29"/>
    <w:rsid w:val="005F4266"/>
    <w:rsid w:val="005F5655"/>
    <w:rsid w:val="005F56FC"/>
    <w:rsid w:val="005F589C"/>
    <w:rsid w:val="005F59B6"/>
    <w:rsid w:val="005F6258"/>
    <w:rsid w:val="005F6948"/>
    <w:rsid w:val="005F760B"/>
    <w:rsid w:val="005F7706"/>
    <w:rsid w:val="00600094"/>
    <w:rsid w:val="00600D4D"/>
    <w:rsid w:val="00600E12"/>
    <w:rsid w:val="006011B5"/>
    <w:rsid w:val="00601871"/>
    <w:rsid w:val="00601E83"/>
    <w:rsid w:val="006026D0"/>
    <w:rsid w:val="0060294B"/>
    <w:rsid w:val="00602C5A"/>
    <w:rsid w:val="00603D49"/>
    <w:rsid w:val="00603D9A"/>
    <w:rsid w:val="006043E1"/>
    <w:rsid w:val="0060483B"/>
    <w:rsid w:val="00604A3A"/>
    <w:rsid w:val="00605182"/>
    <w:rsid w:val="00605A62"/>
    <w:rsid w:val="00605B72"/>
    <w:rsid w:val="00606776"/>
    <w:rsid w:val="00606914"/>
    <w:rsid w:val="00606C51"/>
    <w:rsid w:val="00606E94"/>
    <w:rsid w:val="006079ED"/>
    <w:rsid w:val="00607C4C"/>
    <w:rsid w:val="00607F47"/>
    <w:rsid w:val="00610451"/>
    <w:rsid w:val="00610B59"/>
    <w:rsid w:val="00610F8A"/>
    <w:rsid w:val="00610F8B"/>
    <w:rsid w:val="00610FF4"/>
    <w:rsid w:val="00611010"/>
    <w:rsid w:val="006114C7"/>
    <w:rsid w:val="006117BC"/>
    <w:rsid w:val="00611CC0"/>
    <w:rsid w:val="00611EDD"/>
    <w:rsid w:val="00612785"/>
    <w:rsid w:val="00612793"/>
    <w:rsid w:val="006129D4"/>
    <w:rsid w:val="00612D1A"/>
    <w:rsid w:val="00613463"/>
    <w:rsid w:val="00613869"/>
    <w:rsid w:val="00613E13"/>
    <w:rsid w:val="0061406D"/>
    <w:rsid w:val="00614B4F"/>
    <w:rsid w:val="00614BBE"/>
    <w:rsid w:val="00614D08"/>
    <w:rsid w:val="00614DC9"/>
    <w:rsid w:val="00614E5F"/>
    <w:rsid w:val="006151FE"/>
    <w:rsid w:val="006157A8"/>
    <w:rsid w:val="00615DC1"/>
    <w:rsid w:val="006162E4"/>
    <w:rsid w:val="0061646C"/>
    <w:rsid w:val="00616B6C"/>
    <w:rsid w:val="00616C1E"/>
    <w:rsid w:val="00617AB2"/>
    <w:rsid w:val="006208DB"/>
    <w:rsid w:val="00620AF2"/>
    <w:rsid w:val="00620F2B"/>
    <w:rsid w:val="0062185C"/>
    <w:rsid w:val="00621B05"/>
    <w:rsid w:val="00621C3A"/>
    <w:rsid w:val="00622ACC"/>
    <w:rsid w:val="0062357C"/>
    <w:rsid w:val="006236B4"/>
    <w:rsid w:val="00623C6C"/>
    <w:rsid w:val="00623D16"/>
    <w:rsid w:val="00624744"/>
    <w:rsid w:val="006253EA"/>
    <w:rsid w:val="00625467"/>
    <w:rsid w:val="00625883"/>
    <w:rsid w:val="0062619D"/>
    <w:rsid w:val="006266F4"/>
    <w:rsid w:val="00626813"/>
    <w:rsid w:val="0062698E"/>
    <w:rsid w:val="0062699E"/>
    <w:rsid w:val="006269C2"/>
    <w:rsid w:val="00626D1C"/>
    <w:rsid w:val="00626DEA"/>
    <w:rsid w:val="0062734A"/>
    <w:rsid w:val="0062738E"/>
    <w:rsid w:val="006277F0"/>
    <w:rsid w:val="00627AF7"/>
    <w:rsid w:val="006305EC"/>
    <w:rsid w:val="006306B9"/>
    <w:rsid w:val="006307B0"/>
    <w:rsid w:val="006308A2"/>
    <w:rsid w:val="00630E36"/>
    <w:rsid w:val="00631223"/>
    <w:rsid w:val="00631320"/>
    <w:rsid w:val="00631739"/>
    <w:rsid w:val="0063178D"/>
    <w:rsid w:val="00631804"/>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2456"/>
    <w:rsid w:val="00643661"/>
    <w:rsid w:val="00643740"/>
    <w:rsid w:val="0064423E"/>
    <w:rsid w:val="006446ED"/>
    <w:rsid w:val="006451A3"/>
    <w:rsid w:val="006452C4"/>
    <w:rsid w:val="00646717"/>
    <w:rsid w:val="006468DF"/>
    <w:rsid w:val="00646B9B"/>
    <w:rsid w:val="0064764F"/>
    <w:rsid w:val="006476C8"/>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05B"/>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84E"/>
    <w:rsid w:val="00670A2A"/>
    <w:rsid w:val="00670A3C"/>
    <w:rsid w:val="00670B5C"/>
    <w:rsid w:val="00671012"/>
    <w:rsid w:val="006719C3"/>
    <w:rsid w:val="00671CE0"/>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5E"/>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785"/>
    <w:rsid w:val="0068581E"/>
    <w:rsid w:val="006864B2"/>
    <w:rsid w:val="00687AD7"/>
    <w:rsid w:val="00687BA7"/>
    <w:rsid w:val="00687BAB"/>
    <w:rsid w:val="006903A2"/>
    <w:rsid w:val="00690455"/>
    <w:rsid w:val="006906FC"/>
    <w:rsid w:val="00690707"/>
    <w:rsid w:val="006907E7"/>
    <w:rsid w:val="006913F6"/>
    <w:rsid w:val="0069144D"/>
    <w:rsid w:val="00692D29"/>
    <w:rsid w:val="00692E79"/>
    <w:rsid w:val="006931A1"/>
    <w:rsid w:val="006933B6"/>
    <w:rsid w:val="006933D4"/>
    <w:rsid w:val="006934C0"/>
    <w:rsid w:val="006936A8"/>
    <w:rsid w:val="00693B64"/>
    <w:rsid w:val="006945D5"/>
    <w:rsid w:val="006951DB"/>
    <w:rsid w:val="0069521D"/>
    <w:rsid w:val="006956E8"/>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1C7"/>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10FF"/>
    <w:rsid w:val="006B250C"/>
    <w:rsid w:val="006B25E5"/>
    <w:rsid w:val="006B28B1"/>
    <w:rsid w:val="006B35BA"/>
    <w:rsid w:val="006B3BD0"/>
    <w:rsid w:val="006B3CEF"/>
    <w:rsid w:val="006B3D6E"/>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7A0"/>
    <w:rsid w:val="006C2C9F"/>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C1B"/>
    <w:rsid w:val="006D1D65"/>
    <w:rsid w:val="006D2274"/>
    <w:rsid w:val="006D2BC5"/>
    <w:rsid w:val="006D2D02"/>
    <w:rsid w:val="006D2DAC"/>
    <w:rsid w:val="006D3B38"/>
    <w:rsid w:val="006D40D3"/>
    <w:rsid w:val="006D4958"/>
    <w:rsid w:val="006D54DB"/>
    <w:rsid w:val="006D5686"/>
    <w:rsid w:val="006D5754"/>
    <w:rsid w:val="006D62E6"/>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023"/>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58A"/>
    <w:rsid w:val="00704FB9"/>
    <w:rsid w:val="00705B61"/>
    <w:rsid w:val="00705BA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47E"/>
    <w:rsid w:val="00720702"/>
    <w:rsid w:val="007207EE"/>
    <w:rsid w:val="00721B6B"/>
    <w:rsid w:val="00722B62"/>
    <w:rsid w:val="007232D5"/>
    <w:rsid w:val="00723A52"/>
    <w:rsid w:val="00723A5B"/>
    <w:rsid w:val="00724208"/>
    <w:rsid w:val="0072427C"/>
    <w:rsid w:val="0072473E"/>
    <w:rsid w:val="00724A42"/>
    <w:rsid w:val="00724E8E"/>
    <w:rsid w:val="0072527A"/>
    <w:rsid w:val="00725CEA"/>
    <w:rsid w:val="00726683"/>
    <w:rsid w:val="0072683D"/>
    <w:rsid w:val="0072698C"/>
    <w:rsid w:val="00726F9F"/>
    <w:rsid w:val="007274CD"/>
    <w:rsid w:val="0072760D"/>
    <w:rsid w:val="00727AA2"/>
    <w:rsid w:val="00727B12"/>
    <w:rsid w:val="00727DE0"/>
    <w:rsid w:val="0073005A"/>
    <w:rsid w:val="00730790"/>
    <w:rsid w:val="00730D39"/>
    <w:rsid w:val="00730DFE"/>
    <w:rsid w:val="00730F8D"/>
    <w:rsid w:val="0073128E"/>
    <w:rsid w:val="007313C4"/>
    <w:rsid w:val="00731AE4"/>
    <w:rsid w:val="0073284D"/>
    <w:rsid w:val="00732AB8"/>
    <w:rsid w:val="00732ABB"/>
    <w:rsid w:val="00734156"/>
    <w:rsid w:val="007342AB"/>
    <w:rsid w:val="00734BA0"/>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4C37"/>
    <w:rsid w:val="0074563A"/>
    <w:rsid w:val="00745ACC"/>
    <w:rsid w:val="00745E7A"/>
    <w:rsid w:val="00746AD4"/>
    <w:rsid w:val="00747DDE"/>
    <w:rsid w:val="00750179"/>
    <w:rsid w:val="007504BD"/>
    <w:rsid w:val="00750766"/>
    <w:rsid w:val="00750BFD"/>
    <w:rsid w:val="00750E8E"/>
    <w:rsid w:val="007515F9"/>
    <w:rsid w:val="00752054"/>
    <w:rsid w:val="00752631"/>
    <w:rsid w:val="00753706"/>
    <w:rsid w:val="00753F21"/>
    <w:rsid w:val="007542C4"/>
    <w:rsid w:val="007543CF"/>
    <w:rsid w:val="007544EA"/>
    <w:rsid w:val="007544F2"/>
    <w:rsid w:val="00755F88"/>
    <w:rsid w:val="00755FC9"/>
    <w:rsid w:val="007565FE"/>
    <w:rsid w:val="007567B6"/>
    <w:rsid w:val="007569ED"/>
    <w:rsid w:val="00756CCD"/>
    <w:rsid w:val="00757005"/>
    <w:rsid w:val="00757095"/>
    <w:rsid w:val="007571D0"/>
    <w:rsid w:val="007575D9"/>
    <w:rsid w:val="00757625"/>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BBB"/>
    <w:rsid w:val="00773F15"/>
    <w:rsid w:val="007744FC"/>
    <w:rsid w:val="00774656"/>
    <w:rsid w:val="0077489C"/>
    <w:rsid w:val="00774C6E"/>
    <w:rsid w:val="00775FBA"/>
    <w:rsid w:val="007764DF"/>
    <w:rsid w:val="00776513"/>
    <w:rsid w:val="00776693"/>
    <w:rsid w:val="0077755F"/>
    <w:rsid w:val="007775E0"/>
    <w:rsid w:val="00777ECD"/>
    <w:rsid w:val="007801BD"/>
    <w:rsid w:val="007803E0"/>
    <w:rsid w:val="00781019"/>
    <w:rsid w:val="007812DF"/>
    <w:rsid w:val="00781343"/>
    <w:rsid w:val="007814ED"/>
    <w:rsid w:val="007825C3"/>
    <w:rsid w:val="00782940"/>
    <w:rsid w:val="00783276"/>
    <w:rsid w:val="007832DE"/>
    <w:rsid w:val="00783881"/>
    <w:rsid w:val="00783D8F"/>
    <w:rsid w:val="00784346"/>
    <w:rsid w:val="0078511A"/>
    <w:rsid w:val="0078558C"/>
    <w:rsid w:val="00785B14"/>
    <w:rsid w:val="00786581"/>
    <w:rsid w:val="00786B03"/>
    <w:rsid w:val="007872B5"/>
    <w:rsid w:val="00787767"/>
    <w:rsid w:val="00787815"/>
    <w:rsid w:val="007907E7"/>
    <w:rsid w:val="00790E89"/>
    <w:rsid w:val="0079173E"/>
    <w:rsid w:val="007917C1"/>
    <w:rsid w:val="00791D0C"/>
    <w:rsid w:val="00791D31"/>
    <w:rsid w:val="00791F83"/>
    <w:rsid w:val="007920D4"/>
    <w:rsid w:val="007935AE"/>
    <w:rsid w:val="00793785"/>
    <w:rsid w:val="00793A0E"/>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B07"/>
    <w:rsid w:val="007A0C19"/>
    <w:rsid w:val="007A0F4D"/>
    <w:rsid w:val="007A14BC"/>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B75C2"/>
    <w:rsid w:val="007B7EA4"/>
    <w:rsid w:val="007C028E"/>
    <w:rsid w:val="007C02BE"/>
    <w:rsid w:val="007C0B4F"/>
    <w:rsid w:val="007C0C3A"/>
    <w:rsid w:val="007C0D43"/>
    <w:rsid w:val="007C1257"/>
    <w:rsid w:val="007C1569"/>
    <w:rsid w:val="007C15CB"/>
    <w:rsid w:val="007C1741"/>
    <w:rsid w:val="007C1BC0"/>
    <w:rsid w:val="007C1D34"/>
    <w:rsid w:val="007C1F03"/>
    <w:rsid w:val="007C25A8"/>
    <w:rsid w:val="007C3028"/>
    <w:rsid w:val="007C36D9"/>
    <w:rsid w:val="007C3C4B"/>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4ED0"/>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905"/>
    <w:rsid w:val="007E7A88"/>
    <w:rsid w:val="007F05BF"/>
    <w:rsid w:val="007F0BDF"/>
    <w:rsid w:val="007F0D32"/>
    <w:rsid w:val="007F10B9"/>
    <w:rsid w:val="007F123F"/>
    <w:rsid w:val="007F1504"/>
    <w:rsid w:val="007F1EDE"/>
    <w:rsid w:val="007F22C0"/>
    <w:rsid w:val="007F251E"/>
    <w:rsid w:val="007F2917"/>
    <w:rsid w:val="007F2CEC"/>
    <w:rsid w:val="007F33E8"/>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A"/>
    <w:rsid w:val="00804937"/>
    <w:rsid w:val="00804ADB"/>
    <w:rsid w:val="00804F10"/>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0C8"/>
    <w:rsid w:val="0081482E"/>
    <w:rsid w:val="00814BCC"/>
    <w:rsid w:val="00815381"/>
    <w:rsid w:val="00815819"/>
    <w:rsid w:val="00816673"/>
    <w:rsid w:val="008166A4"/>
    <w:rsid w:val="00816BA2"/>
    <w:rsid w:val="0081718F"/>
    <w:rsid w:val="00817420"/>
    <w:rsid w:val="0081793F"/>
    <w:rsid w:val="00817985"/>
    <w:rsid w:val="00820304"/>
    <w:rsid w:val="00820BD1"/>
    <w:rsid w:val="00821225"/>
    <w:rsid w:val="008212B7"/>
    <w:rsid w:val="008219B8"/>
    <w:rsid w:val="00821DE9"/>
    <w:rsid w:val="00823747"/>
    <w:rsid w:val="00823958"/>
    <w:rsid w:val="00823D8A"/>
    <w:rsid w:val="00823E8E"/>
    <w:rsid w:val="00823EA7"/>
    <w:rsid w:val="0082416B"/>
    <w:rsid w:val="008244BF"/>
    <w:rsid w:val="00824711"/>
    <w:rsid w:val="00824D91"/>
    <w:rsid w:val="00824DB1"/>
    <w:rsid w:val="00825250"/>
    <w:rsid w:val="0082573A"/>
    <w:rsid w:val="0082686E"/>
    <w:rsid w:val="00826E1C"/>
    <w:rsid w:val="00826F1D"/>
    <w:rsid w:val="00826F45"/>
    <w:rsid w:val="008273FF"/>
    <w:rsid w:val="00827443"/>
    <w:rsid w:val="008279C6"/>
    <w:rsid w:val="00827ADE"/>
    <w:rsid w:val="0083044A"/>
    <w:rsid w:val="00830C52"/>
    <w:rsid w:val="00830D72"/>
    <w:rsid w:val="00831044"/>
    <w:rsid w:val="008310D1"/>
    <w:rsid w:val="00831161"/>
    <w:rsid w:val="0083117B"/>
    <w:rsid w:val="00832B49"/>
    <w:rsid w:val="00832C4D"/>
    <w:rsid w:val="00832D9C"/>
    <w:rsid w:val="00832F8B"/>
    <w:rsid w:val="00833151"/>
    <w:rsid w:val="00833182"/>
    <w:rsid w:val="0083329B"/>
    <w:rsid w:val="008338AF"/>
    <w:rsid w:val="00833DD6"/>
    <w:rsid w:val="0083433F"/>
    <w:rsid w:val="008349F7"/>
    <w:rsid w:val="00834DC6"/>
    <w:rsid w:val="0083558E"/>
    <w:rsid w:val="00835840"/>
    <w:rsid w:val="00835FA7"/>
    <w:rsid w:val="00836DCF"/>
    <w:rsid w:val="00836FC2"/>
    <w:rsid w:val="008376D6"/>
    <w:rsid w:val="0083799E"/>
    <w:rsid w:val="00837FB4"/>
    <w:rsid w:val="00840D34"/>
    <w:rsid w:val="00841576"/>
    <w:rsid w:val="00841D95"/>
    <w:rsid w:val="0084253E"/>
    <w:rsid w:val="00842655"/>
    <w:rsid w:val="00842A37"/>
    <w:rsid w:val="00842DA1"/>
    <w:rsid w:val="00843343"/>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EDF"/>
    <w:rsid w:val="00861174"/>
    <w:rsid w:val="008612B5"/>
    <w:rsid w:val="0086153C"/>
    <w:rsid w:val="0086165F"/>
    <w:rsid w:val="008619E8"/>
    <w:rsid w:val="00861E34"/>
    <w:rsid w:val="008624F1"/>
    <w:rsid w:val="008627EE"/>
    <w:rsid w:val="00862C7C"/>
    <w:rsid w:val="008632EC"/>
    <w:rsid w:val="0086360D"/>
    <w:rsid w:val="00863B28"/>
    <w:rsid w:val="008643BD"/>
    <w:rsid w:val="00864434"/>
    <w:rsid w:val="00864563"/>
    <w:rsid w:val="00865081"/>
    <w:rsid w:val="008657A4"/>
    <w:rsid w:val="008659F6"/>
    <w:rsid w:val="00866F83"/>
    <w:rsid w:val="00867412"/>
    <w:rsid w:val="008675E7"/>
    <w:rsid w:val="008700E5"/>
    <w:rsid w:val="0087011F"/>
    <w:rsid w:val="008705E5"/>
    <w:rsid w:val="0087067F"/>
    <w:rsid w:val="00870D65"/>
    <w:rsid w:val="00871529"/>
    <w:rsid w:val="008716A3"/>
    <w:rsid w:val="008716CF"/>
    <w:rsid w:val="00871779"/>
    <w:rsid w:val="00871E7A"/>
    <w:rsid w:val="0087215B"/>
    <w:rsid w:val="0087260B"/>
    <w:rsid w:val="00872DFE"/>
    <w:rsid w:val="008734ED"/>
    <w:rsid w:val="00874093"/>
    <w:rsid w:val="008743B0"/>
    <w:rsid w:val="00874B79"/>
    <w:rsid w:val="00875993"/>
    <w:rsid w:val="0087616B"/>
    <w:rsid w:val="008769BB"/>
    <w:rsid w:val="00876C36"/>
    <w:rsid w:val="00876FA9"/>
    <w:rsid w:val="00877332"/>
    <w:rsid w:val="00877449"/>
    <w:rsid w:val="00877562"/>
    <w:rsid w:val="00877601"/>
    <w:rsid w:val="00877F2D"/>
    <w:rsid w:val="008800C8"/>
    <w:rsid w:val="008802E5"/>
    <w:rsid w:val="008807A7"/>
    <w:rsid w:val="00880ADE"/>
    <w:rsid w:val="00880B14"/>
    <w:rsid w:val="00880FB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871"/>
    <w:rsid w:val="00884BD3"/>
    <w:rsid w:val="00884E0B"/>
    <w:rsid w:val="008853FD"/>
    <w:rsid w:val="008857FC"/>
    <w:rsid w:val="008863D3"/>
    <w:rsid w:val="00886A4D"/>
    <w:rsid w:val="00886B90"/>
    <w:rsid w:val="008870BE"/>
    <w:rsid w:val="008875B0"/>
    <w:rsid w:val="0088770B"/>
    <w:rsid w:val="00887A8C"/>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728B"/>
    <w:rsid w:val="0089759A"/>
    <w:rsid w:val="00897C34"/>
    <w:rsid w:val="00897CAC"/>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1E4"/>
    <w:rsid w:val="008A42A6"/>
    <w:rsid w:val="008A4449"/>
    <w:rsid w:val="008A461F"/>
    <w:rsid w:val="008A4B12"/>
    <w:rsid w:val="008A51DA"/>
    <w:rsid w:val="008A56BE"/>
    <w:rsid w:val="008A5A12"/>
    <w:rsid w:val="008A5A79"/>
    <w:rsid w:val="008A66DB"/>
    <w:rsid w:val="008A67A8"/>
    <w:rsid w:val="008A6861"/>
    <w:rsid w:val="008A68A0"/>
    <w:rsid w:val="008A6A24"/>
    <w:rsid w:val="008A6CAF"/>
    <w:rsid w:val="008A6F0E"/>
    <w:rsid w:val="008A6F80"/>
    <w:rsid w:val="008A7398"/>
    <w:rsid w:val="008A74F3"/>
    <w:rsid w:val="008A7BB6"/>
    <w:rsid w:val="008A7E4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73B"/>
    <w:rsid w:val="008C4272"/>
    <w:rsid w:val="008C46D8"/>
    <w:rsid w:val="008C4C37"/>
    <w:rsid w:val="008C4C8D"/>
    <w:rsid w:val="008C4D72"/>
    <w:rsid w:val="008C52EE"/>
    <w:rsid w:val="008C59FC"/>
    <w:rsid w:val="008C5CCF"/>
    <w:rsid w:val="008C5F49"/>
    <w:rsid w:val="008C601E"/>
    <w:rsid w:val="008C6048"/>
    <w:rsid w:val="008C66F0"/>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43D8"/>
    <w:rsid w:val="008D5204"/>
    <w:rsid w:val="008D56E3"/>
    <w:rsid w:val="008D58C1"/>
    <w:rsid w:val="008D5F3D"/>
    <w:rsid w:val="008D618E"/>
    <w:rsid w:val="008D6B54"/>
    <w:rsid w:val="008D6E67"/>
    <w:rsid w:val="008D6E6A"/>
    <w:rsid w:val="008D7A6E"/>
    <w:rsid w:val="008D7D18"/>
    <w:rsid w:val="008E07F4"/>
    <w:rsid w:val="008E0983"/>
    <w:rsid w:val="008E0B60"/>
    <w:rsid w:val="008E2353"/>
    <w:rsid w:val="008E25B9"/>
    <w:rsid w:val="008E2DCC"/>
    <w:rsid w:val="008E2EF5"/>
    <w:rsid w:val="008E3714"/>
    <w:rsid w:val="008E3C47"/>
    <w:rsid w:val="008E3FEB"/>
    <w:rsid w:val="008E45AD"/>
    <w:rsid w:val="008E45DB"/>
    <w:rsid w:val="008E4803"/>
    <w:rsid w:val="008E4FB1"/>
    <w:rsid w:val="008E54BC"/>
    <w:rsid w:val="008E54C5"/>
    <w:rsid w:val="008E57BC"/>
    <w:rsid w:val="008E5F8A"/>
    <w:rsid w:val="008E613A"/>
    <w:rsid w:val="008E647D"/>
    <w:rsid w:val="008E721F"/>
    <w:rsid w:val="008E776C"/>
    <w:rsid w:val="008E7C2C"/>
    <w:rsid w:val="008E7F18"/>
    <w:rsid w:val="008F01FE"/>
    <w:rsid w:val="008F057D"/>
    <w:rsid w:val="008F08B9"/>
    <w:rsid w:val="008F0CEF"/>
    <w:rsid w:val="008F1077"/>
    <w:rsid w:val="008F1897"/>
    <w:rsid w:val="008F208C"/>
    <w:rsid w:val="008F2124"/>
    <w:rsid w:val="008F246D"/>
    <w:rsid w:val="008F2687"/>
    <w:rsid w:val="008F29F7"/>
    <w:rsid w:val="008F2B2F"/>
    <w:rsid w:val="008F2B34"/>
    <w:rsid w:val="008F3524"/>
    <w:rsid w:val="008F3637"/>
    <w:rsid w:val="008F3987"/>
    <w:rsid w:val="008F3DD4"/>
    <w:rsid w:val="008F403A"/>
    <w:rsid w:val="008F41EF"/>
    <w:rsid w:val="008F41F7"/>
    <w:rsid w:val="008F439B"/>
    <w:rsid w:val="008F43C8"/>
    <w:rsid w:val="008F4466"/>
    <w:rsid w:val="008F45B3"/>
    <w:rsid w:val="008F46FD"/>
    <w:rsid w:val="008F4E8C"/>
    <w:rsid w:val="008F508A"/>
    <w:rsid w:val="008F589C"/>
    <w:rsid w:val="008F6071"/>
    <w:rsid w:val="008F633B"/>
    <w:rsid w:val="008F6415"/>
    <w:rsid w:val="008F6704"/>
    <w:rsid w:val="008F6B5A"/>
    <w:rsid w:val="008F6DD7"/>
    <w:rsid w:val="008F76BB"/>
    <w:rsid w:val="008F7813"/>
    <w:rsid w:val="008F7883"/>
    <w:rsid w:val="00900403"/>
    <w:rsid w:val="009010AA"/>
    <w:rsid w:val="00901ADC"/>
    <w:rsid w:val="00901CC7"/>
    <w:rsid w:val="00901E8E"/>
    <w:rsid w:val="00902465"/>
    <w:rsid w:val="00903117"/>
    <w:rsid w:val="00903476"/>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5C6C"/>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927"/>
    <w:rsid w:val="009327E3"/>
    <w:rsid w:val="00932B95"/>
    <w:rsid w:val="00932C98"/>
    <w:rsid w:val="009331D6"/>
    <w:rsid w:val="00933302"/>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871"/>
    <w:rsid w:val="00950995"/>
    <w:rsid w:val="00950B1A"/>
    <w:rsid w:val="009512B4"/>
    <w:rsid w:val="00951584"/>
    <w:rsid w:val="009518A5"/>
    <w:rsid w:val="00951AB3"/>
    <w:rsid w:val="009529CD"/>
    <w:rsid w:val="00953225"/>
    <w:rsid w:val="00953503"/>
    <w:rsid w:val="00953DC9"/>
    <w:rsid w:val="00953EE0"/>
    <w:rsid w:val="009542D3"/>
    <w:rsid w:val="0095470F"/>
    <w:rsid w:val="00954777"/>
    <w:rsid w:val="00954ACF"/>
    <w:rsid w:val="00954DC3"/>
    <w:rsid w:val="00954FEA"/>
    <w:rsid w:val="00955827"/>
    <w:rsid w:val="00955B04"/>
    <w:rsid w:val="00955B77"/>
    <w:rsid w:val="0095611F"/>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BE5"/>
    <w:rsid w:val="00976DAF"/>
    <w:rsid w:val="00977045"/>
    <w:rsid w:val="0097714A"/>
    <w:rsid w:val="0097733C"/>
    <w:rsid w:val="009775E4"/>
    <w:rsid w:val="0098097D"/>
    <w:rsid w:val="00980B64"/>
    <w:rsid w:val="00980D27"/>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4093"/>
    <w:rsid w:val="0099452B"/>
    <w:rsid w:val="00995886"/>
    <w:rsid w:val="00995AAF"/>
    <w:rsid w:val="00995F02"/>
    <w:rsid w:val="00996861"/>
    <w:rsid w:val="00996896"/>
    <w:rsid w:val="0099700C"/>
    <w:rsid w:val="009970CF"/>
    <w:rsid w:val="009977D1"/>
    <w:rsid w:val="00997AD1"/>
    <w:rsid w:val="00997FD7"/>
    <w:rsid w:val="009A040F"/>
    <w:rsid w:val="009A0EF8"/>
    <w:rsid w:val="009A14A0"/>
    <w:rsid w:val="009A1638"/>
    <w:rsid w:val="009A1966"/>
    <w:rsid w:val="009A19BA"/>
    <w:rsid w:val="009A2174"/>
    <w:rsid w:val="009A243E"/>
    <w:rsid w:val="009A26E4"/>
    <w:rsid w:val="009A27B0"/>
    <w:rsid w:val="009A382A"/>
    <w:rsid w:val="009A3C26"/>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53B5"/>
    <w:rsid w:val="009B54DA"/>
    <w:rsid w:val="009B57BD"/>
    <w:rsid w:val="009B5852"/>
    <w:rsid w:val="009B5E50"/>
    <w:rsid w:val="009B6A61"/>
    <w:rsid w:val="009B6E83"/>
    <w:rsid w:val="009B7332"/>
    <w:rsid w:val="009B7340"/>
    <w:rsid w:val="009B792A"/>
    <w:rsid w:val="009B7A68"/>
    <w:rsid w:val="009B7B50"/>
    <w:rsid w:val="009B7B7F"/>
    <w:rsid w:val="009B7D19"/>
    <w:rsid w:val="009C0342"/>
    <w:rsid w:val="009C047A"/>
    <w:rsid w:val="009C08A1"/>
    <w:rsid w:val="009C0909"/>
    <w:rsid w:val="009C090D"/>
    <w:rsid w:val="009C09F8"/>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D53"/>
    <w:rsid w:val="009E6ED8"/>
    <w:rsid w:val="009E7F4E"/>
    <w:rsid w:val="009F051F"/>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08B"/>
    <w:rsid w:val="009F753A"/>
    <w:rsid w:val="009F7EDA"/>
    <w:rsid w:val="00A00241"/>
    <w:rsid w:val="00A00B28"/>
    <w:rsid w:val="00A01700"/>
    <w:rsid w:val="00A01806"/>
    <w:rsid w:val="00A02BC4"/>
    <w:rsid w:val="00A03314"/>
    <w:rsid w:val="00A036F9"/>
    <w:rsid w:val="00A04422"/>
    <w:rsid w:val="00A044D6"/>
    <w:rsid w:val="00A04EB6"/>
    <w:rsid w:val="00A0599A"/>
    <w:rsid w:val="00A05D36"/>
    <w:rsid w:val="00A06912"/>
    <w:rsid w:val="00A06DB0"/>
    <w:rsid w:val="00A07259"/>
    <w:rsid w:val="00A07CC3"/>
    <w:rsid w:val="00A07EA7"/>
    <w:rsid w:val="00A100BE"/>
    <w:rsid w:val="00A107FF"/>
    <w:rsid w:val="00A11139"/>
    <w:rsid w:val="00A11590"/>
    <w:rsid w:val="00A122F1"/>
    <w:rsid w:val="00A12881"/>
    <w:rsid w:val="00A12BA0"/>
    <w:rsid w:val="00A12BCF"/>
    <w:rsid w:val="00A13313"/>
    <w:rsid w:val="00A13956"/>
    <w:rsid w:val="00A13971"/>
    <w:rsid w:val="00A13A0C"/>
    <w:rsid w:val="00A13BD2"/>
    <w:rsid w:val="00A147EB"/>
    <w:rsid w:val="00A148F7"/>
    <w:rsid w:val="00A14F6C"/>
    <w:rsid w:val="00A1509A"/>
    <w:rsid w:val="00A15CB8"/>
    <w:rsid w:val="00A15E05"/>
    <w:rsid w:val="00A160A6"/>
    <w:rsid w:val="00A164A0"/>
    <w:rsid w:val="00A1654E"/>
    <w:rsid w:val="00A205D3"/>
    <w:rsid w:val="00A2125E"/>
    <w:rsid w:val="00A21CA7"/>
    <w:rsid w:val="00A21D2D"/>
    <w:rsid w:val="00A21D93"/>
    <w:rsid w:val="00A21E33"/>
    <w:rsid w:val="00A21ED7"/>
    <w:rsid w:val="00A21EE9"/>
    <w:rsid w:val="00A225F2"/>
    <w:rsid w:val="00A22AD6"/>
    <w:rsid w:val="00A234FC"/>
    <w:rsid w:val="00A23901"/>
    <w:rsid w:val="00A239F3"/>
    <w:rsid w:val="00A23A31"/>
    <w:rsid w:val="00A24624"/>
    <w:rsid w:val="00A25125"/>
    <w:rsid w:val="00A25188"/>
    <w:rsid w:val="00A256BE"/>
    <w:rsid w:val="00A26C19"/>
    <w:rsid w:val="00A27534"/>
    <w:rsid w:val="00A305AE"/>
    <w:rsid w:val="00A30CA0"/>
    <w:rsid w:val="00A31703"/>
    <w:rsid w:val="00A31F02"/>
    <w:rsid w:val="00A31FFD"/>
    <w:rsid w:val="00A32F43"/>
    <w:rsid w:val="00A34F17"/>
    <w:rsid w:val="00A354EA"/>
    <w:rsid w:val="00A35826"/>
    <w:rsid w:val="00A35C0E"/>
    <w:rsid w:val="00A3619E"/>
    <w:rsid w:val="00A3676A"/>
    <w:rsid w:val="00A3688D"/>
    <w:rsid w:val="00A40CEF"/>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22AF"/>
    <w:rsid w:val="00A52338"/>
    <w:rsid w:val="00A523F3"/>
    <w:rsid w:val="00A524C8"/>
    <w:rsid w:val="00A526F2"/>
    <w:rsid w:val="00A52BCE"/>
    <w:rsid w:val="00A52F78"/>
    <w:rsid w:val="00A53090"/>
    <w:rsid w:val="00A53164"/>
    <w:rsid w:val="00A5370F"/>
    <w:rsid w:val="00A53D87"/>
    <w:rsid w:val="00A54245"/>
    <w:rsid w:val="00A54292"/>
    <w:rsid w:val="00A54303"/>
    <w:rsid w:val="00A544B7"/>
    <w:rsid w:val="00A5471F"/>
    <w:rsid w:val="00A549B5"/>
    <w:rsid w:val="00A5521E"/>
    <w:rsid w:val="00A555C4"/>
    <w:rsid w:val="00A56528"/>
    <w:rsid w:val="00A56813"/>
    <w:rsid w:val="00A569F5"/>
    <w:rsid w:val="00A56CE8"/>
    <w:rsid w:val="00A57021"/>
    <w:rsid w:val="00A57569"/>
    <w:rsid w:val="00A578A4"/>
    <w:rsid w:val="00A57D55"/>
    <w:rsid w:val="00A6035F"/>
    <w:rsid w:val="00A60666"/>
    <w:rsid w:val="00A6072B"/>
    <w:rsid w:val="00A60AB4"/>
    <w:rsid w:val="00A618FF"/>
    <w:rsid w:val="00A624FD"/>
    <w:rsid w:val="00A63897"/>
    <w:rsid w:val="00A6415A"/>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7E1"/>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302"/>
    <w:rsid w:val="00A82869"/>
    <w:rsid w:val="00A8317B"/>
    <w:rsid w:val="00A83413"/>
    <w:rsid w:val="00A83BC6"/>
    <w:rsid w:val="00A83D07"/>
    <w:rsid w:val="00A84316"/>
    <w:rsid w:val="00A84E36"/>
    <w:rsid w:val="00A86823"/>
    <w:rsid w:val="00A869F8"/>
    <w:rsid w:val="00A86C7D"/>
    <w:rsid w:val="00A8701E"/>
    <w:rsid w:val="00A874B5"/>
    <w:rsid w:val="00A877EC"/>
    <w:rsid w:val="00A8785B"/>
    <w:rsid w:val="00A903FB"/>
    <w:rsid w:val="00A90488"/>
    <w:rsid w:val="00A904A4"/>
    <w:rsid w:val="00A9099B"/>
    <w:rsid w:val="00A90AA8"/>
    <w:rsid w:val="00A90CB4"/>
    <w:rsid w:val="00A90DE3"/>
    <w:rsid w:val="00A90FF1"/>
    <w:rsid w:val="00A91160"/>
    <w:rsid w:val="00A91C6E"/>
    <w:rsid w:val="00A91E82"/>
    <w:rsid w:val="00A9283B"/>
    <w:rsid w:val="00A934EF"/>
    <w:rsid w:val="00A943F8"/>
    <w:rsid w:val="00A94413"/>
    <w:rsid w:val="00A945AD"/>
    <w:rsid w:val="00A94B65"/>
    <w:rsid w:val="00A94DD8"/>
    <w:rsid w:val="00A959F4"/>
    <w:rsid w:val="00A96AC4"/>
    <w:rsid w:val="00A9781E"/>
    <w:rsid w:val="00A979FD"/>
    <w:rsid w:val="00A97B1A"/>
    <w:rsid w:val="00A97E3E"/>
    <w:rsid w:val="00AA089D"/>
    <w:rsid w:val="00AA0DF9"/>
    <w:rsid w:val="00AA0EDE"/>
    <w:rsid w:val="00AA0F94"/>
    <w:rsid w:val="00AA0FEE"/>
    <w:rsid w:val="00AA178C"/>
    <w:rsid w:val="00AA2205"/>
    <w:rsid w:val="00AA226B"/>
    <w:rsid w:val="00AA2286"/>
    <w:rsid w:val="00AA26EF"/>
    <w:rsid w:val="00AA27A9"/>
    <w:rsid w:val="00AA27FA"/>
    <w:rsid w:val="00AA33C5"/>
    <w:rsid w:val="00AA3690"/>
    <w:rsid w:val="00AA4167"/>
    <w:rsid w:val="00AA4848"/>
    <w:rsid w:val="00AA4866"/>
    <w:rsid w:val="00AA5889"/>
    <w:rsid w:val="00AA5CC6"/>
    <w:rsid w:val="00AA5FF3"/>
    <w:rsid w:val="00AA690C"/>
    <w:rsid w:val="00AA710F"/>
    <w:rsid w:val="00AA74F5"/>
    <w:rsid w:val="00AA760A"/>
    <w:rsid w:val="00AA7650"/>
    <w:rsid w:val="00AB144D"/>
    <w:rsid w:val="00AB14FD"/>
    <w:rsid w:val="00AB158E"/>
    <w:rsid w:val="00AB1AC0"/>
    <w:rsid w:val="00AB1C2A"/>
    <w:rsid w:val="00AB1C8B"/>
    <w:rsid w:val="00AB1E8B"/>
    <w:rsid w:val="00AB21A2"/>
    <w:rsid w:val="00AB26ED"/>
    <w:rsid w:val="00AB2722"/>
    <w:rsid w:val="00AB283B"/>
    <w:rsid w:val="00AB35FC"/>
    <w:rsid w:val="00AB36E1"/>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C38"/>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11"/>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9F"/>
    <w:rsid w:val="00AE6BAE"/>
    <w:rsid w:val="00AE6F99"/>
    <w:rsid w:val="00AE715C"/>
    <w:rsid w:val="00AE771A"/>
    <w:rsid w:val="00AF0126"/>
    <w:rsid w:val="00AF019F"/>
    <w:rsid w:val="00AF0542"/>
    <w:rsid w:val="00AF0670"/>
    <w:rsid w:val="00AF0916"/>
    <w:rsid w:val="00AF0A2F"/>
    <w:rsid w:val="00AF0F4C"/>
    <w:rsid w:val="00AF1C12"/>
    <w:rsid w:val="00AF1E9F"/>
    <w:rsid w:val="00AF2460"/>
    <w:rsid w:val="00AF2539"/>
    <w:rsid w:val="00AF2823"/>
    <w:rsid w:val="00AF3171"/>
    <w:rsid w:val="00AF3A80"/>
    <w:rsid w:val="00AF47F2"/>
    <w:rsid w:val="00AF4A26"/>
    <w:rsid w:val="00AF4D45"/>
    <w:rsid w:val="00AF4E4A"/>
    <w:rsid w:val="00AF5919"/>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6B3D"/>
    <w:rsid w:val="00B073F6"/>
    <w:rsid w:val="00B07582"/>
    <w:rsid w:val="00B0773A"/>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F45"/>
    <w:rsid w:val="00B250FD"/>
    <w:rsid w:val="00B25123"/>
    <w:rsid w:val="00B252D7"/>
    <w:rsid w:val="00B25659"/>
    <w:rsid w:val="00B2593F"/>
    <w:rsid w:val="00B259A2"/>
    <w:rsid w:val="00B25A03"/>
    <w:rsid w:val="00B25B5A"/>
    <w:rsid w:val="00B26422"/>
    <w:rsid w:val="00B26A74"/>
    <w:rsid w:val="00B26EB3"/>
    <w:rsid w:val="00B27084"/>
    <w:rsid w:val="00B27546"/>
    <w:rsid w:val="00B27A25"/>
    <w:rsid w:val="00B27E2C"/>
    <w:rsid w:val="00B308F9"/>
    <w:rsid w:val="00B30D50"/>
    <w:rsid w:val="00B3161A"/>
    <w:rsid w:val="00B31B6A"/>
    <w:rsid w:val="00B32025"/>
    <w:rsid w:val="00B32E92"/>
    <w:rsid w:val="00B332F5"/>
    <w:rsid w:val="00B3355F"/>
    <w:rsid w:val="00B33BEB"/>
    <w:rsid w:val="00B3451D"/>
    <w:rsid w:val="00B34CCD"/>
    <w:rsid w:val="00B361A3"/>
    <w:rsid w:val="00B36539"/>
    <w:rsid w:val="00B3686F"/>
    <w:rsid w:val="00B36AB3"/>
    <w:rsid w:val="00B36E05"/>
    <w:rsid w:val="00B36EC5"/>
    <w:rsid w:val="00B3735B"/>
    <w:rsid w:val="00B378FE"/>
    <w:rsid w:val="00B3797B"/>
    <w:rsid w:val="00B37D02"/>
    <w:rsid w:val="00B37D1A"/>
    <w:rsid w:val="00B41139"/>
    <w:rsid w:val="00B4130E"/>
    <w:rsid w:val="00B41383"/>
    <w:rsid w:val="00B413BD"/>
    <w:rsid w:val="00B41DA2"/>
    <w:rsid w:val="00B4292F"/>
    <w:rsid w:val="00B42B26"/>
    <w:rsid w:val="00B42F7F"/>
    <w:rsid w:val="00B43191"/>
    <w:rsid w:val="00B432EF"/>
    <w:rsid w:val="00B43B7F"/>
    <w:rsid w:val="00B44231"/>
    <w:rsid w:val="00B44DB1"/>
    <w:rsid w:val="00B452AB"/>
    <w:rsid w:val="00B45A73"/>
    <w:rsid w:val="00B462A2"/>
    <w:rsid w:val="00B474E9"/>
    <w:rsid w:val="00B4781F"/>
    <w:rsid w:val="00B47EE3"/>
    <w:rsid w:val="00B52453"/>
    <w:rsid w:val="00B52918"/>
    <w:rsid w:val="00B52C97"/>
    <w:rsid w:val="00B539AB"/>
    <w:rsid w:val="00B544EB"/>
    <w:rsid w:val="00B54688"/>
    <w:rsid w:val="00B55B3E"/>
    <w:rsid w:val="00B55CFE"/>
    <w:rsid w:val="00B56228"/>
    <w:rsid w:val="00B5657D"/>
    <w:rsid w:val="00B56841"/>
    <w:rsid w:val="00B56999"/>
    <w:rsid w:val="00B56B74"/>
    <w:rsid w:val="00B57093"/>
    <w:rsid w:val="00B57B9D"/>
    <w:rsid w:val="00B57BCB"/>
    <w:rsid w:val="00B57C1C"/>
    <w:rsid w:val="00B60024"/>
    <w:rsid w:val="00B60300"/>
    <w:rsid w:val="00B60C69"/>
    <w:rsid w:val="00B60D04"/>
    <w:rsid w:val="00B60DBD"/>
    <w:rsid w:val="00B61010"/>
    <w:rsid w:val="00B61306"/>
    <w:rsid w:val="00B61A49"/>
    <w:rsid w:val="00B62169"/>
    <w:rsid w:val="00B6324B"/>
    <w:rsid w:val="00B63E23"/>
    <w:rsid w:val="00B64045"/>
    <w:rsid w:val="00B6430B"/>
    <w:rsid w:val="00B649B9"/>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3F60"/>
    <w:rsid w:val="00B7404F"/>
    <w:rsid w:val="00B7410C"/>
    <w:rsid w:val="00B74283"/>
    <w:rsid w:val="00B74D6B"/>
    <w:rsid w:val="00B75345"/>
    <w:rsid w:val="00B75A9C"/>
    <w:rsid w:val="00B75BB2"/>
    <w:rsid w:val="00B77402"/>
    <w:rsid w:val="00B775EE"/>
    <w:rsid w:val="00B77720"/>
    <w:rsid w:val="00B77EBD"/>
    <w:rsid w:val="00B77F9D"/>
    <w:rsid w:val="00B805BB"/>
    <w:rsid w:val="00B8078D"/>
    <w:rsid w:val="00B81211"/>
    <w:rsid w:val="00B812E5"/>
    <w:rsid w:val="00B81BFA"/>
    <w:rsid w:val="00B82B09"/>
    <w:rsid w:val="00B82CB7"/>
    <w:rsid w:val="00B82DD0"/>
    <w:rsid w:val="00B841B8"/>
    <w:rsid w:val="00B846B6"/>
    <w:rsid w:val="00B84789"/>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4D0D"/>
    <w:rsid w:val="00B9524F"/>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6E80"/>
    <w:rsid w:val="00BC71A3"/>
    <w:rsid w:val="00BD0165"/>
    <w:rsid w:val="00BD08E1"/>
    <w:rsid w:val="00BD0D80"/>
    <w:rsid w:val="00BD1928"/>
    <w:rsid w:val="00BD294C"/>
    <w:rsid w:val="00BD2D61"/>
    <w:rsid w:val="00BD303D"/>
    <w:rsid w:val="00BD3A1C"/>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520"/>
    <w:rsid w:val="00BE591F"/>
    <w:rsid w:val="00BE5D2F"/>
    <w:rsid w:val="00BE6016"/>
    <w:rsid w:val="00BE6628"/>
    <w:rsid w:val="00BE6EA6"/>
    <w:rsid w:val="00BE7129"/>
    <w:rsid w:val="00BE732C"/>
    <w:rsid w:val="00BE76B4"/>
    <w:rsid w:val="00BE77E5"/>
    <w:rsid w:val="00BF031E"/>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B0"/>
    <w:rsid w:val="00C00251"/>
    <w:rsid w:val="00C004F3"/>
    <w:rsid w:val="00C008B2"/>
    <w:rsid w:val="00C01592"/>
    <w:rsid w:val="00C01D5A"/>
    <w:rsid w:val="00C01FA9"/>
    <w:rsid w:val="00C020C7"/>
    <w:rsid w:val="00C023B1"/>
    <w:rsid w:val="00C02E13"/>
    <w:rsid w:val="00C02E68"/>
    <w:rsid w:val="00C02E8C"/>
    <w:rsid w:val="00C030B7"/>
    <w:rsid w:val="00C030E5"/>
    <w:rsid w:val="00C03104"/>
    <w:rsid w:val="00C03367"/>
    <w:rsid w:val="00C0349A"/>
    <w:rsid w:val="00C0373B"/>
    <w:rsid w:val="00C03E5C"/>
    <w:rsid w:val="00C045BB"/>
    <w:rsid w:val="00C0471B"/>
    <w:rsid w:val="00C050AF"/>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33E"/>
    <w:rsid w:val="00C12652"/>
    <w:rsid w:val="00C1303A"/>
    <w:rsid w:val="00C13716"/>
    <w:rsid w:val="00C137DF"/>
    <w:rsid w:val="00C13916"/>
    <w:rsid w:val="00C13BAE"/>
    <w:rsid w:val="00C13DC3"/>
    <w:rsid w:val="00C170E2"/>
    <w:rsid w:val="00C17B87"/>
    <w:rsid w:val="00C17C1A"/>
    <w:rsid w:val="00C17F38"/>
    <w:rsid w:val="00C20292"/>
    <w:rsid w:val="00C211D2"/>
    <w:rsid w:val="00C21376"/>
    <w:rsid w:val="00C2155B"/>
    <w:rsid w:val="00C2175F"/>
    <w:rsid w:val="00C218B1"/>
    <w:rsid w:val="00C219B0"/>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8E"/>
    <w:rsid w:val="00C32977"/>
    <w:rsid w:val="00C32978"/>
    <w:rsid w:val="00C32B71"/>
    <w:rsid w:val="00C33F06"/>
    <w:rsid w:val="00C33F6C"/>
    <w:rsid w:val="00C3447C"/>
    <w:rsid w:val="00C34899"/>
    <w:rsid w:val="00C348CA"/>
    <w:rsid w:val="00C3501A"/>
    <w:rsid w:val="00C36260"/>
    <w:rsid w:val="00C36FA0"/>
    <w:rsid w:val="00C36FB0"/>
    <w:rsid w:val="00C40210"/>
    <w:rsid w:val="00C41340"/>
    <w:rsid w:val="00C4175A"/>
    <w:rsid w:val="00C417E8"/>
    <w:rsid w:val="00C418E4"/>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1E"/>
    <w:rsid w:val="00C47E23"/>
    <w:rsid w:val="00C47F88"/>
    <w:rsid w:val="00C50388"/>
    <w:rsid w:val="00C50D73"/>
    <w:rsid w:val="00C50E13"/>
    <w:rsid w:val="00C510E1"/>
    <w:rsid w:val="00C520DC"/>
    <w:rsid w:val="00C526D5"/>
    <w:rsid w:val="00C53035"/>
    <w:rsid w:val="00C5330D"/>
    <w:rsid w:val="00C534EE"/>
    <w:rsid w:val="00C535F7"/>
    <w:rsid w:val="00C54D22"/>
    <w:rsid w:val="00C54E5D"/>
    <w:rsid w:val="00C5616A"/>
    <w:rsid w:val="00C565BA"/>
    <w:rsid w:val="00C5747F"/>
    <w:rsid w:val="00C57494"/>
    <w:rsid w:val="00C57611"/>
    <w:rsid w:val="00C579AB"/>
    <w:rsid w:val="00C57F4D"/>
    <w:rsid w:val="00C6093C"/>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4FF"/>
    <w:rsid w:val="00C6496B"/>
    <w:rsid w:val="00C65872"/>
    <w:rsid w:val="00C66035"/>
    <w:rsid w:val="00C66109"/>
    <w:rsid w:val="00C66760"/>
    <w:rsid w:val="00C667F8"/>
    <w:rsid w:val="00C66CDC"/>
    <w:rsid w:val="00C67870"/>
    <w:rsid w:val="00C67A81"/>
    <w:rsid w:val="00C704DF"/>
    <w:rsid w:val="00C705F3"/>
    <w:rsid w:val="00C70D62"/>
    <w:rsid w:val="00C70EE4"/>
    <w:rsid w:val="00C71AC3"/>
    <w:rsid w:val="00C71DFE"/>
    <w:rsid w:val="00C71F2F"/>
    <w:rsid w:val="00C72415"/>
    <w:rsid w:val="00C72451"/>
    <w:rsid w:val="00C72ADC"/>
    <w:rsid w:val="00C72EEC"/>
    <w:rsid w:val="00C73002"/>
    <w:rsid w:val="00C73C24"/>
    <w:rsid w:val="00C73E5D"/>
    <w:rsid w:val="00C74920"/>
    <w:rsid w:val="00C75E75"/>
    <w:rsid w:val="00C76C46"/>
    <w:rsid w:val="00C76F8F"/>
    <w:rsid w:val="00C77953"/>
    <w:rsid w:val="00C80781"/>
    <w:rsid w:val="00C8115E"/>
    <w:rsid w:val="00C812A5"/>
    <w:rsid w:val="00C81A97"/>
    <w:rsid w:val="00C81EB2"/>
    <w:rsid w:val="00C8208E"/>
    <w:rsid w:val="00C82300"/>
    <w:rsid w:val="00C82818"/>
    <w:rsid w:val="00C829BF"/>
    <w:rsid w:val="00C83179"/>
    <w:rsid w:val="00C83538"/>
    <w:rsid w:val="00C836E4"/>
    <w:rsid w:val="00C83806"/>
    <w:rsid w:val="00C84441"/>
    <w:rsid w:val="00C85173"/>
    <w:rsid w:val="00C8591F"/>
    <w:rsid w:val="00C8607E"/>
    <w:rsid w:val="00C862A7"/>
    <w:rsid w:val="00C863FE"/>
    <w:rsid w:val="00C86DA3"/>
    <w:rsid w:val="00C87742"/>
    <w:rsid w:val="00C87821"/>
    <w:rsid w:val="00C87E12"/>
    <w:rsid w:val="00C87F8C"/>
    <w:rsid w:val="00C9020D"/>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9B2"/>
    <w:rsid w:val="00CA3DF0"/>
    <w:rsid w:val="00CA3E5A"/>
    <w:rsid w:val="00CA4D13"/>
    <w:rsid w:val="00CA5459"/>
    <w:rsid w:val="00CA5B25"/>
    <w:rsid w:val="00CA7103"/>
    <w:rsid w:val="00CA73D1"/>
    <w:rsid w:val="00CA7814"/>
    <w:rsid w:val="00CA78B1"/>
    <w:rsid w:val="00CA79E6"/>
    <w:rsid w:val="00CB0367"/>
    <w:rsid w:val="00CB144F"/>
    <w:rsid w:val="00CB160A"/>
    <w:rsid w:val="00CB1845"/>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0D7"/>
    <w:rsid w:val="00CB7A4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3C9"/>
    <w:rsid w:val="00CC55CE"/>
    <w:rsid w:val="00CC5895"/>
    <w:rsid w:val="00CC5D3E"/>
    <w:rsid w:val="00CC6C4C"/>
    <w:rsid w:val="00CC6C78"/>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1D36"/>
    <w:rsid w:val="00CE2B32"/>
    <w:rsid w:val="00CE2EA2"/>
    <w:rsid w:val="00CE3B1D"/>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3B4"/>
    <w:rsid w:val="00CF164D"/>
    <w:rsid w:val="00CF1939"/>
    <w:rsid w:val="00CF1A66"/>
    <w:rsid w:val="00CF202D"/>
    <w:rsid w:val="00CF2771"/>
    <w:rsid w:val="00CF2840"/>
    <w:rsid w:val="00CF2E08"/>
    <w:rsid w:val="00CF34C4"/>
    <w:rsid w:val="00CF4133"/>
    <w:rsid w:val="00CF4198"/>
    <w:rsid w:val="00CF5E99"/>
    <w:rsid w:val="00CF5FDD"/>
    <w:rsid w:val="00CF6446"/>
    <w:rsid w:val="00CF6552"/>
    <w:rsid w:val="00CF656C"/>
    <w:rsid w:val="00D004BD"/>
    <w:rsid w:val="00D0084C"/>
    <w:rsid w:val="00D00D79"/>
    <w:rsid w:val="00D01035"/>
    <w:rsid w:val="00D0124F"/>
    <w:rsid w:val="00D012AE"/>
    <w:rsid w:val="00D0151A"/>
    <w:rsid w:val="00D01D9B"/>
    <w:rsid w:val="00D02287"/>
    <w:rsid w:val="00D023EC"/>
    <w:rsid w:val="00D032E0"/>
    <w:rsid w:val="00D03A07"/>
    <w:rsid w:val="00D03CAA"/>
    <w:rsid w:val="00D03E04"/>
    <w:rsid w:val="00D03F98"/>
    <w:rsid w:val="00D048C4"/>
    <w:rsid w:val="00D0506B"/>
    <w:rsid w:val="00D051CD"/>
    <w:rsid w:val="00D0541D"/>
    <w:rsid w:val="00D0549D"/>
    <w:rsid w:val="00D059E7"/>
    <w:rsid w:val="00D05A31"/>
    <w:rsid w:val="00D05F72"/>
    <w:rsid w:val="00D05F79"/>
    <w:rsid w:val="00D069E1"/>
    <w:rsid w:val="00D06C77"/>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B9E"/>
    <w:rsid w:val="00D22060"/>
    <w:rsid w:val="00D2251D"/>
    <w:rsid w:val="00D22CC3"/>
    <w:rsid w:val="00D22F7C"/>
    <w:rsid w:val="00D238D0"/>
    <w:rsid w:val="00D24238"/>
    <w:rsid w:val="00D24540"/>
    <w:rsid w:val="00D24858"/>
    <w:rsid w:val="00D24A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93"/>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7BB"/>
    <w:rsid w:val="00D4741E"/>
    <w:rsid w:val="00D5145A"/>
    <w:rsid w:val="00D51626"/>
    <w:rsid w:val="00D516EA"/>
    <w:rsid w:val="00D51769"/>
    <w:rsid w:val="00D521A0"/>
    <w:rsid w:val="00D521FC"/>
    <w:rsid w:val="00D52332"/>
    <w:rsid w:val="00D52616"/>
    <w:rsid w:val="00D52C3A"/>
    <w:rsid w:val="00D53B9A"/>
    <w:rsid w:val="00D53CEE"/>
    <w:rsid w:val="00D53DA9"/>
    <w:rsid w:val="00D545E9"/>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CC9"/>
    <w:rsid w:val="00D61EB6"/>
    <w:rsid w:val="00D62467"/>
    <w:rsid w:val="00D62C17"/>
    <w:rsid w:val="00D62C2D"/>
    <w:rsid w:val="00D6324D"/>
    <w:rsid w:val="00D63BD0"/>
    <w:rsid w:val="00D6444A"/>
    <w:rsid w:val="00D656FF"/>
    <w:rsid w:val="00D65852"/>
    <w:rsid w:val="00D65D1D"/>
    <w:rsid w:val="00D66053"/>
    <w:rsid w:val="00D660F0"/>
    <w:rsid w:val="00D6615D"/>
    <w:rsid w:val="00D66380"/>
    <w:rsid w:val="00D66546"/>
    <w:rsid w:val="00D67F57"/>
    <w:rsid w:val="00D70878"/>
    <w:rsid w:val="00D708B3"/>
    <w:rsid w:val="00D70A5D"/>
    <w:rsid w:val="00D70D53"/>
    <w:rsid w:val="00D70EB9"/>
    <w:rsid w:val="00D70F9C"/>
    <w:rsid w:val="00D710BE"/>
    <w:rsid w:val="00D7181E"/>
    <w:rsid w:val="00D718B5"/>
    <w:rsid w:val="00D720AD"/>
    <w:rsid w:val="00D7292E"/>
    <w:rsid w:val="00D72BFA"/>
    <w:rsid w:val="00D73E4F"/>
    <w:rsid w:val="00D7429B"/>
    <w:rsid w:val="00D7482A"/>
    <w:rsid w:val="00D748D6"/>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533"/>
    <w:rsid w:val="00D84BEE"/>
    <w:rsid w:val="00D84DD9"/>
    <w:rsid w:val="00D8522B"/>
    <w:rsid w:val="00D85370"/>
    <w:rsid w:val="00D85623"/>
    <w:rsid w:val="00D8596E"/>
    <w:rsid w:val="00D861A0"/>
    <w:rsid w:val="00D86252"/>
    <w:rsid w:val="00D865E8"/>
    <w:rsid w:val="00D867C0"/>
    <w:rsid w:val="00D86AEE"/>
    <w:rsid w:val="00D86D1C"/>
    <w:rsid w:val="00D8776F"/>
    <w:rsid w:val="00D87875"/>
    <w:rsid w:val="00D87B50"/>
    <w:rsid w:val="00D87BB0"/>
    <w:rsid w:val="00D87D8E"/>
    <w:rsid w:val="00D902DA"/>
    <w:rsid w:val="00D906AA"/>
    <w:rsid w:val="00D906DF"/>
    <w:rsid w:val="00D90E7C"/>
    <w:rsid w:val="00D9109A"/>
    <w:rsid w:val="00D91827"/>
    <w:rsid w:val="00D91846"/>
    <w:rsid w:val="00D92892"/>
    <w:rsid w:val="00D9302D"/>
    <w:rsid w:val="00D937C5"/>
    <w:rsid w:val="00D93996"/>
    <w:rsid w:val="00D93D07"/>
    <w:rsid w:val="00D9431A"/>
    <w:rsid w:val="00D943D2"/>
    <w:rsid w:val="00D9442E"/>
    <w:rsid w:val="00D94B75"/>
    <w:rsid w:val="00D95249"/>
    <w:rsid w:val="00D95A48"/>
    <w:rsid w:val="00D95EAB"/>
    <w:rsid w:val="00D965CE"/>
    <w:rsid w:val="00D96A23"/>
    <w:rsid w:val="00D96FB2"/>
    <w:rsid w:val="00D97655"/>
    <w:rsid w:val="00D976C0"/>
    <w:rsid w:val="00DA084E"/>
    <w:rsid w:val="00DA094E"/>
    <w:rsid w:val="00DA0958"/>
    <w:rsid w:val="00DA0B14"/>
    <w:rsid w:val="00DA0DF5"/>
    <w:rsid w:val="00DA1470"/>
    <w:rsid w:val="00DA1BD3"/>
    <w:rsid w:val="00DA2665"/>
    <w:rsid w:val="00DA3929"/>
    <w:rsid w:val="00DA3D21"/>
    <w:rsid w:val="00DA42A8"/>
    <w:rsid w:val="00DA434E"/>
    <w:rsid w:val="00DA4DFC"/>
    <w:rsid w:val="00DA55FA"/>
    <w:rsid w:val="00DA5685"/>
    <w:rsid w:val="00DA594B"/>
    <w:rsid w:val="00DA5D64"/>
    <w:rsid w:val="00DA693C"/>
    <w:rsid w:val="00DA69A2"/>
    <w:rsid w:val="00DA74AE"/>
    <w:rsid w:val="00DB0709"/>
    <w:rsid w:val="00DB0DC2"/>
    <w:rsid w:val="00DB1288"/>
    <w:rsid w:val="00DB1BAB"/>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5E7"/>
    <w:rsid w:val="00DB573D"/>
    <w:rsid w:val="00DB5D0B"/>
    <w:rsid w:val="00DB6599"/>
    <w:rsid w:val="00DB6ABE"/>
    <w:rsid w:val="00DB6B18"/>
    <w:rsid w:val="00DB7FE2"/>
    <w:rsid w:val="00DC0129"/>
    <w:rsid w:val="00DC0286"/>
    <w:rsid w:val="00DC053A"/>
    <w:rsid w:val="00DC0919"/>
    <w:rsid w:val="00DC0A3E"/>
    <w:rsid w:val="00DC19AE"/>
    <w:rsid w:val="00DC1D36"/>
    <w:rsid w:val="00DC20AD"/>
    <w:rsid w:val="00DC26A1"/>
    <w:rsid w:val="00DC27F0"/>
    <w:rsid w:val="00DC345C"/>
    <w:rsid w:val="00DC3E25"/>
    <w:rsid w:val="00DC426D"/>
    <w:rsid w:val="00DC4557"/>
    <w:rsid w:val="00DC469A"/>
    <w:rsid w:val="00DC4C02"/>
    <w:rsid w:val="00DC502F"/>
    <w:rsid w:val="00DC5291"/>
    <w:rsid w:val="00DC5602"/>
    <w:rsid w:val="00DC63AD"/>
    <w:rsid w:val="00DC672D"/>
    <w:rsid w:val="00DC6E4D"/>
    <w:rsid w:val="00DC6E65"/>
    <w:rsid w:val="00DC74B6"/>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F08"/>
    <w:rsid w:val="00DD333E"/>
    <w:rsid w:val="00DD33BA"/>
    <w:rsid w:val="00DD33BF"/>
    <w:rsid w:val="00DD3554"/>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5E9"/>
    <w:rsid w:val="00DE1CD7"/>
    <w:rsid w:val="00DE2064"/>
    <w:rsid w:val="00DE317F"/>
    <w:rsid w:val="00DE3640"/>
    <w:rsid w:val="00DE3A6D"/>
    <w:rsid w:val="00DE40D1"/>
    <w:rsid w:val="00DE420F"/>
    <w:rsid w:val="00DE526B"/>
    <w:rsid w:val="00DE5817"/>
    <w:rsid w:val="00DE5CF7"/>
    <w:rsid w:val="00DE5E9F"/>
    <w:rsid w:val="00DE61F0"/>
    <w:rsid w:val="00DE637C"/>
    <w:rsid w:val="00DE6649"/>
    <w:rsid w:val="00DE69EF"/>
    <w:rsid w:val="00DE6F03"/>
    <w:rsid w:val="00DE6F44"/>
    <w:rsid w:val="00DE7022"/>
    <w:rsid w:val="00DE77D3"/>
    <w:rsid w:val="00DE7A05"/>
    <w:rsid w:val="00DF0557"/>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0E45"/>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9F7"/>
    <w:rsid w:val="00E05A0A"/>
    <w:rsid w:val="00E05ADE"/>
    <w:rsid w:val="00E05C25"/>
    <w:rsid w:val="00E07E01"/>
    <w:rsid w:val="00E07E54"/>
    <w:rsid w:val="00E10E79"/>
    <w:rsid w:val="00E11303"/>
    <w:rsid w:val="00E11379"/>
    <w:rsid w:val="00E12020"/>
    <w:rsid w:val="00E12035"/>
    <w:rsid w:val="00E1286F"/>
    <w:rsid w:val="00E13B4E"/>
    <w:rsid w:val="00E13C35"/>
    <w:rsid w:val="00E13C72"/>
    <w:rsid w:val="00E13E1F"/>
    <w:rsid w:val="00E14069"/>
    <w:rsid w:val="00E147D2"/>
    <w:rsid w:val="00E14868"/>
    <w:rsid w:val="00E155FB"/>
    <w:rsid w:val="00E15814"/>
    <w:rsid w:val="00E158D2"/>
    <w:rsid w:val="00E16ACA"/>
    <w:rsid w:val="00E171D9"/>
    <w:rsid w:val="00E17EBE"/>
    <w:rsid w:val="00E208A3"/>
    <w:rsid w:val="00E21057"/>
    <w:rsid w:val="00E21479"/>
    <w:rsid w:val="00E21C00"/>
    <w:rsid w:val="00E21F91"/>
    <w:rsid w:val="00E22105"/>
    <w:rsid w:val="00E2397C"/>
    <w:rsid w:val="00E23FA3"/>
    <w:rsid w:val="00E23FDF"/>
    <w:rsid w:val="00E246C7"/>
    <w:rsid w:val="00E24BBE"/>
    <w:rsid w:val="00E24C97"/>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3"/>
    <w:rsid w:val="00E32076"/>
    <w:rsid w:val="00E3223D"/>
    <w:rsid w:val="00E3242F"/>
    <w:rsid w:val="00E32D78"/>
    <w:rsid w:val="00E332D0"/>
    <w:rsid w:val="00E3339E"/>
    <w:rsid w:val="00E3377B"/>
    <w:rsid w:val="00E33A13"/>
    <w:rsid w:val="00E34305"/>
    <w:rsid w:val="00E34385"/>
    <w:rsid w:val="00E34567"/>
    <w:rsid w:val="00E34D4D"/>
    <w:rsid w:val="00E34FCE"/>
    <w:rsid w:val="00E35C0B"/>
    <w:rsid w:val="00E36A8F"/>
    <w:rsid w:val="00E3742C"/>
    <w:rsid w:val="00E379D9"/>
    <w:rsid w:val="00E37E54"/>
    <w:rsid w:val="00E37EEC"/>
    <w:rsid w:val="00E4068C"/>
    <w:rsid w:val="00E409C2"/>
    <w:rsid w:val="00E40B42"/>
    <w:rsid w:val="00E411C7"/>
    <w:rsid w:val="00E415C1"/>
    <w:rsid w:val="00E41A08"/>
    <w:rsid w:val="00E42196"/>
    <w:rsid w:val="00E4267B"/>
    <w:rsid w:val="00E42F27"/>
    <w:rsid w:val="00E42F44"/>
    <w:rsid w:val="00E43082"/>
    <w:rsid w:val="00E43A38"/>
    <w:rsid w:val="00E43B91"/>
    <w:rsid w:val="00E43FD6"/>
    <w:rsid w:val="00E4420B"/>
    <w:rsid w:val="00E44447"/>
    <w:rsid w:val="00E44689"/>
    <w:rsid w:val="00E45EB2"/>
    <w:rsid w:val="00E45F0D"/>
    <w:rsid w:val="00E460B0"/>
    <w:rsid w:val="00E46476"/>
    <w:rsid w:val="00E46E67"/>
    <w:rsid w:val="00E472B2"/>
    <w:rsid w:val="00E47454"/>
    <w:rsid w:val="00E479EA"/>
    <w:rsid w:val="00E47ECB"/>
    <w:rsid w:val="00E50740"/>
    <w:rsid w:val="00E51389"/>
    <w:rsid w:val="00E51D3B"/>
    <w:rsid w:val="00E526CB"/>
    <w:rsid w:val="00E53247"/>
    <w:rsid w:val="00E539CB"/>
    <w:rsid w:val="00E53F00"/>
    <w:rsid w:val="00E54461"/>
    <w:rsid w:val="00E55473"/>
    <w:rsid w:val="00E55696"/>
    <w:rsid w:val="00E55797"/>
    <w:rsid w:val="00E5625E"/>
    <w:rsid w:val="00E564B3"/>
    <w:rsid w:val="00E56697"/>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67DC3"/>
    <w:rsid w:val="00E70BE5"/>
    <w:rsid w:val="00E70D8B"/>
    <w:rsid w:val="00E70E66"/>
    <w:rsid w:val="00E712B6"/>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E27"/>
    <w:rsid w:val="00E8147B"/>
    <w:rsid w:val="00E81E85"/>
    <w:rsid w:val="00E81F13"/>
    <w:rsid w:val="00E835B2"/>
    <w:rsid w:val="00E8444E"/>
    <w:rsid w:val="00E86108"/>
    <w:rsid w:val="00E86921"/>
    <w:rsid w:val="00E86AF1"/>
    <w:rsid w:val="00E86C0F"/>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C94"/>
    <w:rsid w:val="00E95D57"/>
    <w:rsid w:val="00E95DEF"/>
    <w:rsid w:val="00E96378"/>
    <w:rsid w:val="00E968EA"/>
    <w:rsid w:val="00E96A55"/>
    <w:rsid w:val="00E96E4D"/>
    <w:rsid w:val="00E97EED"/>
    <w:rsid w:val="00EA009F"/>
    <w:rsid w:val="00EA018A"/>
    <w:rsid w:val="00EA0403"/>
    <w:rsid w:val="00EA0A53"/>
    <w:rsid w:val="00EA0AAB"/>
    <w:rsid w:val="00EA0E9A"/>
    <w:rsid w:val="00EA1209"/>
    <w:rsid w:val="00EA193A"/>
    <w:rsid w:val="00EA20BE"/>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95C"/>
    <w:rsid w:val="00EB7B27"/>
    <w:rsid w:val="00EB7B6E"/>
    <w:rsid w:val="00EC0604"/>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842"/>
    <w:rsid w:val="00ED0FF9"/>
    <w:rsid w:val="00ED106B"/>
    <w:rsid w:val="00ED14E1"/>
    <w:rsid w:val="00ED199E"/>
    <w:rsid w:val="00ED1A42"/>
    <w:rsid w:val="00ED1D4A"/>
    <w:rsid w:val="00ED23FC"/>
    <w:rsid w:val="00ED2424"/>
    <w:rsid w:val="00ED25B6"/>
    <w:rsid w:val="00ED30E7"/>
    <w:rsid w:val="00ED3188"/>
    <w:rsid w:val="00ED32F2"/>
    <w:rsid w:val="00ED34F1"/>
    <w:rsid w:val="00ED3759"/>
    <w:rsid w:val="00ED3F7C"/>
    <w:rsid w:val="00ED4039"/>
    <w:rsid w:val="00ED4768"/>
    <w:rsid w:val="00ED4B69"/>
    <w:rsid w:val="00ED4C57"/>
    <w:rsid w:val="00ED4D7F"/>
    <w:rsid w:val="00ED50C6"/>
    <w:rsid w:val="00ED5AF8"/>
    <w:rsid w:val="00ED617B"/>
    <w:rsid w:val="00ED6855"/>
    <w:rsid w:val="00ED7692"/>
    <w:rsid w:val="00EE044B"/>
    <w:rsid w:val="00EE09B9"/>
    <w:rsid w:val="00EE0D93"/>
    <w:rsid w:val="00EE0DFC"/>
    <w:rsid w:val="00EE0ED4"/>
    <w:rsid w:val="00EE0F0A"/>
    <w:rsid w:val="00EE1A0B"/>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2E0B"/>
    <w:rsid w:val="00EF3563"/>
    <w:rsid w:val="00EF3F21"/>
    <w:rsid w:val="00EF4753"/>
    <w:rsid w:val="00EF4904"/>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1224"/>
    <w:rsid w:val="00F0171B"/>
    <w:rsid w:val="00F02313"/>
    <w:rsid w:val="00F0251F"/>
    <w:rsid w:val="00F03912"/>
    <w:rsid w:val="00F03B75"/>
    <w:rsid w:val="00F03D33"/>
    <w:rsid w:val="00F03F54"/>
    <w:rsid w:val="00F03F69"/>
    <w:rsid w:val="00F046B3"/>
    <w:rsid w:val="00F0474C"/>
    <w:rsid w:val="00F05A4C"/>
    <w:rsid w:val="00F0600E"/>
    <w:rsid w:val="00F06079"/>
    <w:rsid w:val="00F06E8F"/>
    <w:rsid w:val="00F10127"/>
    <w:rsid w:val="00F103CA"/>
    <w:rsid w:val="00F104CF"/>
    <w:rsid w:val="00F107AA"/>
    <w:rsid w:val="00F1089E"/>
    <w:rsid w:val="00F112F3"/>
    <w:rsid w:val="00F11327"/>
    <w:rsid w:val="00F11932"/>
    <w:rsid w:val="00F11AA5"/>
    <w:rsid w:val="00F11D73"/>
    <w:rsid w:val="00F12568"/>
    <w:rsid w:val="00F127BD"/>
    <w:rsid w:val="00F12986"/>
    <w:rsid w:val="00F13015"/>
    <w:rsid w:val="00F13CB4"/>
    <w:rsid w:val="00F1499E"/>
    <w:rsid w:val="00F149E7"/>
    <w:rsid w:val="00F149ED"/>
    <w:rsid w:val="00F15692"/>
    <w:rsid w:val="00F156EF"/>
    <w:rsid w:val="00F161A1"/>
    <w:rsid w:val="00F166EA"/>
    <w:rsid w:val="00F16710"/>
    <w:rsid w:val="00F16A40"/>
    <w:rsid w:val="00F17673"/>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529"/>
    <w:rsid w:val="00F41DEA"/>
    <w:rsid w:val="00F435D4"/>
    <w:rsid w:val="00F45045"/>
    <w:rsid w:val="00F4546D"/>
    <w:rsid w:val="00F4548C"/>
    <w:rsid w:val="00F4565D"/>
    <w:rsid w:val="00F45FC9"/>
    <w:rsid w:val="00F46E50"/>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CAE"/>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1E2"/>
    <w:rsid w:val="00F62200"/>
    <w:rsid w:val="00F623ED"/>
    <w:rsid w:val="00F625A6"/>
    <w:rsid w:val="00F625EF"/>
    <w:rsid w:val="00F627AE"/>
    <w:rsid w:val="00F6312C"/>
    <w:rsid w:val="00F63671"/>
    <w:rsid w:val="00F637BB"/>
    <w:rsid w:val="00F63B2C"/>
    <w:rsid w:val="00F645F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0EC2"/>
    <w:rsid w:val="00F711A5"/>
    <w:rsid w:val="00F713BA"/>
    <w:rsid w:val="00F71617"/>
    <w:rsid w:val="00F71920"/>
    <w:rsid w:val="00F71AF1"/>
    <w:rsid w:val="00F71B23"/>
    <w:rsid w:val="00F7205F"/>
    <w:rsid w:val="00F73246"/>
    <w:rsid w:val="00F7338A"/>
    <w:rsid w:val="00F73FEC"/>
    <w:rsid w:val="00F74B27"/>
    <w:rsid w:val="00F74EAC"/>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7ED"/>
    <w:rsid w:val="00F90C14"/>
    <w:rsid w:val="00F91680"/>
    <w:rsid w:val="00F91B14"/>
    <w:rsid w:val="00F91B99"/>
    <w:rsid w:val="00F927ED"/>
    <w:rsid w:val="00F92A02"/>
    <w:rsid w:val="00F92E99"/>
    <w:rsid w:val="00F94403"/>
    <w:rsid w:val="00F94606"/>
    <w:rsid w:val="00F94ADD"/>
    <w:rsid w:val="00F94D08"/>
    <w:rsid w:val="00F95285"/>
    <w:rsid w:val="00F956B1"/>
    <w:rsid w:val="00F969BE"/>
    <w:rsid w:val="00F97D2D"/>
    <w:rsid w:val="00FA01D4"/>
    <w:rsid w:val="00FA2E4F"/>
    <w:rsid w:val="00FA30BD"/>
    <w:rsid w:val="00FA3757"/>
    <w:rsid w:val="00FA395D"/>
    <w:rsid w:val="00FA3DC9"/>
    <w:rsid w:val="00FA3FA2"/>
    <w:rsid w:val="00FA461F"/>
    <w:rsid w:val="00FA4651"/>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1797"/>
    <w:rsid w:val="00FC2F3C"/>
    <w:rsid w:val="00FC3149"/>
    <w:rsid w:val="00FC33D5"/>
    <w:rsid w:val="00FC3668"/>
    <w:rsid w:val="00FC37F7"/>
    <w:rsid w:val="00FC3A8D"/>
    <w:rsid w:val="00FC446C"/>
    <w:rsid w:val="00FC446D"/>
    <w:rsid w:val="00FC49CA"/>
    <w:rsid w:val="00FC51EC"/>
    <w:rsid w:val="00FC56E6"/>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03C"/>
    <w:rsid w:val="00FD229E"/>
    <w:rsid w:val="00FD2A06"/>
    <w:rsid w:val="00FD2B25"/>
    <w:rsid w:val="00FD329B"/>
    <w:rsid w:val="00FD351B"/>
    <w:rsid w:val="00FD35F0"/>
    <w:rsid w:val="00FD363A"/>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FBA"/>
    <w:rsid w:val="00FE0BF9"/>
    <w:rsid w:val="00FE1690"/>
    <w:rsid w:val="00FE1F2E"/>
    <w:rsid w:val="00FE1FD9"/>
    <w:rsid w:val="00FE20DC"/>
    <w:rsid w:val="00FE24A3"/>
    <w:rsid w:val="00FE2FAD"/>
    <w:rsid w:val="00FE3175"/>
    <w:rsid w:val="00FE3258"/>
    <w:rsid w:val="00FE3670"/>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2D9"/>
    <w:rsid w:val="00FF444C"/>
    <w:rsid w:val="00FF471D"/>
    <w:rsid w:val="00FF4A57"/>
    <w:rsid w:val="00FF4BFA"/>
    <w:rsid w:val="00FF53A3"/>
    <w:rsid w:val="00FF561C"/>
    <w:rsid w:val="00FF610C"/>
    <w:rsid w:val="00FF672D"/>
    <w:rsid w:val="00FF68CF"/>
    <w:rsid w:val="00FF7CAE"/>
    <w:rsid w:val="020053EF"/>
    <w:rsid w:val="07701B46"/>
    <w:rsid w:val="15FA378A"/>
    <w:rsid w:val="19724A9F"/>
    <w:rsid w:val="1FE6550E"/>
    <w:rsid w:val="2A2616DB"/>
    <w:rsid w:val="2CD779E9"/>
    <w:rsid w:val="3BDD230F"/>
    <w:rsid w:val="54351D15"/>
    <w:rsid w:val="587B4C09"/>
    <w:rsid w:val="5FED3B78"/>
    <w:rsid w:val="61061AC2"/>
    <w:rsid w:val="6150503F"/>
    <w:rsid w:val="79377C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Theme="minorEastAsia" w:cstheme="minorBidi"/>
      <w:sz w:val="22"/>
      <w:szCs w:val="22"/>
      <w:lang w:val="en-US"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ja-JP"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link w:val="106"/>
    <w:unhideWhenUsed/>
    <w:qFormat/>
    <w:uiPriority w:val="35"/>
    <w:rPr>
      <w:b/>
      <w:bCs/>
    </w:rPr>
  </w:style>
  <w:style w:type="paragraph" w:styleId="29">
    <w:name w:val="annotation text"/>
    <w:basedOn w:val="1"/>
    <w:link w:val="88"/>
    <w:semiHidden/>
    <w:unhideWhenUsed/>
    <w:qFormat/>
    <w:uiPriority w:val="99"/>
  </w:style>
  <w:style w:type="paragraph" w:styleId="30">
    <w:name w:val="Body Text"/>
    <w:link w:val="91"/>
    <w:qFormat/>
    <w:uiPriority w:val="0"/>
    <w:pPr>
      <w:keepLines/>
      <w:spacing w:before="180" w:after="120"/>
      <w:ind w:left="1701"/>
    </w:pPr>
    <w:rPr>
      <w:rFonts w:ascii="Arial" w:hAnsi="Arial" w:eastAsia="MS Mincho" w:cs="Times New Roman"/>
      <w:kern w:val="24"/>
      <w:lang w:val="en-US" w:eastAsia="en-US" w:bidi="ar-SA"/>
    </w:rPr>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97"/>
    <w:semiHidden/>
    <w:unhideWhenUsed/>
    <w:qFormat/>
    <w:uiPriority w:val="99"/>
  </w:style>
  <w:style w:type="paragraph" w:styleId="34">
    <w:name w:val="Balloon Text"/>
    <w:basedOn w:val="1"/>
    <w:link w:val="86"/>
    <w:semiHidden/>
    <w:unhideWhenUsed/>
    <w:qFormat/>
    <w:uiPriority w:val="99"/>
    <w:pPr>
      <w:spacing w:after="0"/>
    </w:pPr>
    <w:rPr>
      <w:rFonts w:ascii="Tahoma" w:hAnsi="Tahoma" w:cs="Tahoma"/>
      <w:sz w:val="16"/>
      <w:szCs w:val="16"/>
    </w:rPr>
  </w:style>
  <w:style w:type="paragraph" w:styleId="35">
    <w:name w:val="footer"/>
    <w:basedOn w:val="36"/>
    <w:link w:val="93"/>
    <w:qFormat/>
    <w:uiPriority w:val="0"/>
    <w:pPr>
      <w:jc w:val="center"/>
    </w:pPr>
    <w:rPr>
      <w:i/>
    </w:rPr>
  </w:style>
  <w:style w:type="paragraph" w:styleId="36">
    <w:name w:val="header"/>
    <w:semiHidden/>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ja-JP"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sz w:val="24"/>
      <w:szCs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link w:val="89"/>
    <w:semiHidden/>
    <w:unhideWhenUsed/>
    <w:qFormat/>
    <w:uiPriority w:val="99"/>
    <w:rPr>
      <w:b/>
      <w:bCs/>
    </w:rPr>
  </w:style>
  <w:style w:type="table" w:styleId="46">
    <w:name w:val="Table Grid"/>
    <w:basedOn w:val="4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annotation reference"/>
    <w:semiHidden/>
    <w:unhideWhenUsed/>
    <w:qFormat/>
    <w:uiPriority w:val="99"/>
    <w:rPr>
      <w:sz w:val="16"/>
      <w:szCs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ja-JP"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2"/>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ja-JP"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link w:val="107"/>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ja-JP" w:bidi="ar-SA"/>
    </w:rPr>
  </w:style>
  <w:style w:type="paragraph" w:customStyle="1" w:styleId="67">
    <w:name w:val="TAR"/>
    <w:basedOn w:val="55"/>
    <w:qFormat/>
    <w:uiPriority w:val="0"/>
    <w:pPr>
      <w:jc w:val="right"/>
    </w:pPr>
  </w:style>
  <w:style w:type="paragraph" w:customStyle="1" w:styleId="68">
    <w:name w:val="TAN"/>
    <w:basedOn w:val="55"/>
    <w:link w:val="94"/>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ja-JP"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ja-JP" w:bidi="ar-SA"/>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ja-JP"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ja-JP"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ja-JP" w:bidi="ar-SA"/>
    </w:rPr>
  </w:style>
  <w:style w:type="paragraph" w:customStyle="1" w:styleId="76">
    <w:name w:val="Editor's Note"/>
    <w:basedOn w:val="58"/>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3GPP_Header"/>
    <w:basedOn w:val="1"/>
    <w:qFormat/>
    <w:uiPriority w:val="0"/>
    <w:pPr>
      <w:tabs>
        <w:tab w:val="left" w:pos="1701"/>
        <w:tab w:val="right" w:pos="9639"/>
      </w:tabs>
      <w:spacing w:after="240"/>
    </w:pPr>
    <w:rPr>
      <w:rFonts w:ascii="Arial" w:hAnsi="Arial"/>
      <w:b/>
      <w:sz w:val="24"/>
      <w:lang w:eastAsia="zh-CN"/>
    </w:rPr>
  </w:style>
  <w:style w:type="paragraph" w:styleId="84">
    <w:name w:val="List Paragraph"/>
    <w:basedOn w:val="1"/>
    <w:link w:val="105"/>
    <w:qFormat/>
    <w:uiPriority w:val="34"/>
    <w:pPr>
      <w:ind w:left="720"/>
    </w:pPr>
  </w:style>
  <w:style w:type="paragraph" w:customStyle="1" w:styleId="85">
    <w:name w:val="Reference"/>
    <w:basedOn w:val="1"/>
    <w:qFormat/>
    <w:uiPriority w:val="0"/>
    <w:pPr>
      <w:numPr>
        <w:ilvl w:val="0"/>
        <w:numId w:val="1"/>
      </w:numPr>
      <w:spacing w:before="120" w:after="0" w:line="280" w:lineRule="atLeast"/>
    </w:pPr>
  </w:style>
  <w:style w:type="character" w:customStyle="1" w:styleId="86">
    <w:name w:val="Balloon Text Char"/>
    <w:link w:val="34"/>
    <w:semiHidden/>
    <w:qFormat/>
    <w:uiPriority w:val="99"/>
    <w:rPr>
      <w:rFonts w:ascii="Tahoma" w:hAnsi="Tahoma" w:cs="Tahoma"/>
      <w:sz w:val="16"/>
      <w:szCs w:val="16"/>
      <w:lang w:val="en-GB"/>
    </w:rPr>
  </w:style>
  <w:style w:type="character" w:customStyle="1" w:styleId="87">
    <w:name w:val="NO Char"/>
    <w:link w:val="58"/>
    <w:qFormat/>
    <w:uiPriority w:val="0"/>
    <w:rPr>
      <w:rFonts w:ascii="Times New Roman" w:hAnsi="Times New Roman"/>
      <w:lang w:val="en-GB"/>
    </w:rPr>
  </w:style>
  <w:style w:type="character" w:customStyle="1" w:styleId="88">
    <w:name w:val="Comment Text Char"/>
    <w:link w:val="29"/>
    <w:semiHidden/>
    <w:qFormat/>
    <w:uiPriority w:val="99"/>
    <w:rPr>
      <w:rFonts w:ascii="Times New Roman" w:hAnsi="Times New Roman"/>
      <w:lang w:val="en-GB"/>
    </w:rPr>
  </w:style>
  <w:style w:type="character" w:customStyle="1" w:styleId="89">
    <w:name w:val="Comment Subject Char"/>
    <w:link w:val="44"/>
    <w:semiHidden/>
    <w:qFormat/>
    <w:uiPriority w:val="99"/>
    <w:rPr>
      <w:rFonts w:ascii="Times New Roman" w:hAnsi="Times New Roman"/>
      <w:b/>
      <w:bCs/>
      <w:lang w:val="en-GB"/>
    </w:rPr>
  </w:style>
  <w:style w:type="character" w:customStyle="1" w:styleId="90">
    <w:name w:val="Body Text Char"/>
    <w:semiHidden/>
    <w:qFormat/>
    <w:uiPriority w:val="99"/>
    <w:rPr>
      <w:rFonts w:ascii="Times New Roman" w:hAnsi="Times New Roman"/>
      <w:lang w:val="en-GB"/>
    </w:rPr>
  </w:style>
  <w:style w:type="character" w:customStyle="1" w:styleId="91">
    <w:name w:val="Body Text Char1"/>
    <w:link w:val="30"/>
    <w:qFormat/>
    <w:uiPriority w:val="0"/>
    <w:rPr>
      <w:rFonts w:ascii="Arial" w:hAnsi="Arial"/>
      <w:kern w:val="24"/>
      <w:lang w:eastAsia="en-US"/>
    </w:rPr>
  </w:style>
  <w:style w:type="character" w:customStyle="1" w:styleId="92">
    <w:name w:val="TAC Char"/>
    <w:link w:val="54"/>
    <w:qFormat/>
    <w:uiPriority w:val="0"/>
    <w:rPr>
      <w:rFonts w:ascii="Arial" w:hAnsi="Arial"/>
      <w:sz w:val="18"/>
      <w:lang w:val="en-GB"/>
    </w:rPr>
  </w:style>
  <w:style w:type="character" w:customStyle="1" w:styleId="93">
    <w:name w:val="Footer Char"/>
    <w:link w:val="35"/>
    <w:qFormat/>
    <w:uiPriority w:val="0"/>
    <w:rPr>
      <w:rFonts w:ascii="Arial" w:hAnsi="Arial"/>
      <w:b/>
      <w:i/>
      <w:sz w:val="18"/>
    </w:rPr>
  </w:style>
  <w:style w:type="character" w:customStyle="1" w:styleId="94">
    <w:name w:val="TAN Char"/>
    <w:link w:val="68"/>
    <w:qFormat/>
    <w:uiPriority w:val="0"/>
    <w:rPr>
      <w:rFonts w:ascii="Arial" w:hAnsi="Arial"/>
      <w:sz w:val="18"/>
      <w:lang w:val="en-GB"/>
    </w:rPr>
  </w:style>
  <w:style w:type="character" w:customStyle="1" w:styleId="95">
    <w:name w:val="TAH Car"/>
    <w:link w:val="53"/>
    <w:qFormat/>
    <w:uiPriority w:val="0"/>
    <w:rPr>
      <w:rFonts w:ascii="Arial" w:hAnsi="Arial"/>
      <w:b/>
      <w:sz w:val="18"/>
      <w:lang w:val="en-GB"/>
    </w:rPr>
  </w:style>
  <w:style w:type="character" w:customStyle="1" w:styleId="96">
    <w:name w:val="TAL Car"/>
    <w:link w:val="55"/>
    <w:qFormat/>
    <w:uiPriority w:val="0"/>
    <w:rPr>
      <w:rFonts w:ascii="Arial" w:hAnsi="Arial"/>
      <w:sz w:val="18"/>
      <w:lang w:val="en-GB"/>
    </w:rPr>
  </w:style>
  <w:style w:type="character" w:customStyle="1" w:styleId="97">
    <w:name w:val="Date Char"/>
    <w:link w:val="33"/>
    <w:semiHidden/>
    <w:qFormat/>
    <w:uiPriority w:val="99"/>
    <w:rPr>
      <w:rFonts w:ascii="Times New Roman" w:hAnsi="Times New Roman"/>
      <w:lang w:val="en-GB"/>
    </w:rPr>
  </w:style>
  <w:style w:type="character" w:customStyle="1" w:styleId="98">
    <w:name w:val="TH Char"/>
    <w:link w:val="57"/>
    <w:qFormat/>
    <w:uiPriority w:val="0"/>
    <w:rPr>
      <w:rFonts w:ascii="Arial" w:hAnsi="Arial"/>
      <w:b/>
      <w:lang w:val="en-GB"/>
    </w:rPr>
  </w:style>
  <w:style w:type="character" w:customStyle="1" w:styleId="99">
    <w:name w:val="B1 Char"/>
    <w:link w:val="77"/>
    <w:qFormat/>
    <w:uiPriority w:val="0"/>
    <w:rPr>
      <w:rFonts w:ascii="Times New Roman" w:hAnsi="Times New Roman"/>
      <w:lang w:val="en-GB"/>
    </w:rPr>
  </w:style>
  <w:style w:type="character" w:customStyle="1" w:styleId="100">
    <w:name w:val="TF Char"/>
    <w:link w:val="56"/>
    <w:qFormat/>
    <w:locked/>
    <w:uiPriority w:val="0"/>
    <w:rPr>
      <w:rFonts w:ascii="Arial" w:hAnsi="Arial"/>
      <w:b/>
      <w:lang w:val="en-GB"/>
    </w:rPr>
  </w:style>
  <w:style w:type="table" w:customStyle="1" w:styleId="101">
    <w:name w:val="Grid Table Light"/>
    <w:basedOn w:val="4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2">
    <w:name w:val="Plain Table 1"/>
    <w:basedOn w:val="45"/>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3">
    <w:name w:val="B2 Char"/>
    <w:link w:val="78"/>
    <w:qFormat/>
    <w:uiPriority w:val="0"/>
    <w:rPr>
      <w:rFonts w:asciiTheme="minorHAnsi" w:hAnsiTheme="minorHAnsi" w:cstheme="minorBidi"/>
      <w:sz w:val="22"/>
      <w:szCs w:val="22"/>
    </w:rPr>
  </w:style>
  <w:style w:type="character" w:styleId="104">
    <w:name w:val="Placeholder Text"/>
    <w:basedOn w:val="47"/>
    <w:semiHidden/>
    <w:qFormat/>
    <w:uiPriority w:val="99"/>
    <w:rPr>
      <w:color w:val="808080"/>
    </w:rPr>
  </w:style>
  <w:style w:type="character" w:customStyle="1" w:styleId="105">
    <w:name w:val="List Paragraph Char"/>
    <w:link w:val="84"/>
    <w:qFormat/>
    <w:locked/>
    <w:uiPriority w:val="34"/>
    <w:rPr>
      <w:rFonts w:asciiTheme="minorHAnsi" w:hAnsiTheme="minorHAnsi" w:eastAsiaTheme="minorEastAsia" w:cstheme="minorBidi"/>
      <w:sz w:val="22"/>
      <w:szCs w:val="22"/>
    </w:rPr>
  </w:style>
  <w:style w:type="character" w:customStyle="1" w:styleId="106">
    <w:name w:val="Caption Char1"/>
    <w:link w:val="28"/>
    <w:qFormat/>
    <w:locked/>
    <w:uiPriority w:val="0"/>
    <w:rPr>
      <w:rFonts w:ascii="Calibri" w:hAnsi="Calibri" w:eastAsiaTheme="minorEastAsia" w:cstheme="minorBidi"/>
      <w:b/>
      <w:bCs/>
      <w:sz w:val="22"/>
      <w:szCs w:val="22"/>
    </w:rPr>
  </w:style>
  <w:style w:type="character" w:customStyle="1" w:styleId="107">
    <w:name w:val="EQ Char"/>
    <w:link w:val="64"/>
    <w:qFormat/>
    <w:locked/>
    <w:uiPriority w:val="0"/>
    <w:rPr>
      <w:rFonts w:ascii="Calibri" w:hAnsi="Calibr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388B9-EA80-4CE4-A9AE-9541CAFDFE17}">
  <ds:schemaRefs/>
</ds:datastoreItem>
</file>

<file path=customXml/itemProps3.xml><?xml version="1.0" encoding="utf-8"?>
<ds:datastoreItem xmlns:ds="http://schemas.openxmlformats.org/officeDocument/2006/customXml" ds:itemID="{338BB4EF-8CD6-41FE-A98A-4F3F5F48487E}">
  <ds:schemaRefs/>
</ds:datastoreItem>
</file>

<file path=docProps/app.xml><?xml version="1.0" encoding="utf-8"?>
<Properties xmlns="http://schemas.openxmlformats.org/officeDocument/2006/extended-properties" xmlns:vt="http://schemas.openxmlformats.org/officeDocument/2006/docPropsVTypes">
  <Template>Normal</Template>
  <Pages>3</Pages>
  <Words>712</Words>
  <Characters>4059</Characters>
  <Lines>33</Lines>
  <Paragraphs>9</Paragraphs>
  <TotalTime>1</TotalTime>
  <ScaleCrop>false</ScaleCrop>
  <LinksUpToDate>false</LinksUpToDate>
  <CharactersWithSpaces>4762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2020-02-14T03:04:00Z</dcterms:created>
  <dcterms:modified xsi:type="dcterms:W3CDTF">2021-08-06T13:07:18Z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